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BAD2E">
      <w:pPr>
        <w:rPr>
          <w:rFonts w:ascii="Times New Roman" w:hAnsi="Times New Roman" w:cs="Times New Roman"/>
          <w:highlight w:val="none"/>
        </w:rPr>
      </w:pPr>
    </w:p>
    <w:p w14:paraId="78DA2084">
      <w:pPr>
        <w:rPr>
          <w:rFonts w:ascii="Times New Roman" w:hAnsi="Times New Roman" w:cs="Times New Roman"/>
          <w:highlight w:val="none"/>
        </w:rPr>
      </w:pPr>
    </w:p>
    <w:p w14:paraId="3D35B80A">
      <w:pPr>
        <w:rPr>
          <w:rFonts w:ascii="Times New Roman" w:hAnsi="Times New Roman" w:cs="Times New Roman"/>
          <w:highlight w:val="none"/>
        </w:rPr>
      </w:pPr>
    </w:p>
    <w:p w14:paraId="5C2901B4">
      <w:pPr>
        <w:rPr>
          <w:rFonts w:ascii="Times New Roman" w:hAnsi="Times New Roman" w:cs="Times New Roman"/>
          <w:highlight w:val="none"/>
        </w:rPr>
      </w:pPr>
    </w:p>
    <w:p w14:paraId="3E0CF245">
      <w:pPr>
        <w:rPr>
          <w:rFonts w:ascii="Times New Roman" w:hAnsi="Times New Roman" w:cs="Times New Roman"/>
          <w:highlight w:val="none"/>
        </w:rPr>
      </w:pPr>
    </w:p>
    <w:p w14:paraId="2CCD01B6">
      <w:pPr>
        <w:rPr>
          <w:rFonts w:ascii="Times New Roman" w:hAnsi="Times New Roman" w:cs="Times New Roman"/>
          <w:highlight w:val="none"/>
        </w:rPr>
      </w:pPr>
    </w:p>
    <w:p w14:paraId="114A8EB4">
      <w:pPr>
        <w:rPr>
          <w:rFonts w:ascii="Times New Roman" w:hAnsi="Times New Roman" w:cs="Times New Roman"/>
          <w:highlight w:val="none"/>
        </w:rPr>
      </w:pPr>
    </w:p>
    <w:p w14:paraId="39304B6C">
      <w:pPr>
        <w:jc w:val="center"/>
        <w:rPr>
          <w:rFonts w:hint="eastAsia" w:ascii="Times New Roman" w:hAnsi="Times New Roman" w:cs="Times New Roman"/>
          <w:b/>
          <w:sz w:val="52"/>
          <w:szCs w:val="52"/>
          <w:highlight w:val="none"/>
        </w:rPr>
      </w:pPr>
      <w:bookmarkStart w:id="0" w:name="OLE_LINK17"/>
      <w:bookmarkStart w:id="1" w:name="OLE_LINK18"/>
      <w:r>
        <w:rPr>
          <w:rFonts w:hint="eastAsia" w:ascii="Times New Roman" w:hAnsi="Times New Roman" w:cs="Times New Roman"/>
          <w:b/>
          <w:sz w:val="52"/>
          <w:szCs w:val="52"/>
          <w:highlight w:val="none"/>
        </w:rPr>
        <w:t>诺和诺德（中国）制药有限公司</w:t>
      </w:r>
    </w:p>
    <w:p w14:paraId="3DCD8EF6">
      <w:pPr>
        <w:jc w:val="center"/>
        <w:rPr>
          <w:rFonts w:hint="eastAsia" w:ascii="Times New Roman" w:hAnsi="Times New Roman" w:cs="Times New Roman"/>
          <w:b/>
          <w:sz w:val="52"/>
          <w:szCs w:val="52"/>
          <w:highlight w:val="none"/>
        </w:rPr>
      </w:pPr>
      <w:r>
        <w:rPr>
          <w:rFonts w:hint="eastAsia" w:ascii="Times New Roman" w:hAnsi="Times New Roman" w:cs="Times New Roman"/>
          <w:b/>
          <w:sz w:val="52"/>
          <w:szCs w:val="52"/>
          <w:highlight w:val="none"/>
        </w:rPr>
        <w:t>无菌生产厂项目W2-仓库2</w:t>
      </w:r>
      <w:bookmarkEnd w:id="0"/>
      <w:bookmarkEnd w:id="1"/>
    </w:p>
    <w:p w14:paraId="5913624B">
      <w:pPr>
        <w:jc w:val="center"/>
        <w:rPr>
          <w:rFonts w:ascii="Times New Roman" w:hAnsi="Times New Roman" w:cs="Times New Roman"/>
          <w:b/>
          <w:sz w:val="52"/>
          <w:szCs w:val="52"/>
          <w:highlight w:val="none"/>
        </w:rPr>
      </w:pPr>
      <w:r>
        <w:rPr>
          <w:rFonts w:hint="eastAsia" w:ascii="Times New Roman" w:hAnsi="Times New Roman" w:cs="Times New Roman"/>
          <w:b/>
          <w:sz w:val="52"/>
          <w:szCs w:val="52"/>
          <w:highlight w:val="none"/>
        </w:rPr>
        <w:t>竣工</w:t>
      </w:r>
      <w:r>
        <w:rPr>
          <w:rFonts w:ascii="Times New Roman" w:hAnsi="Times New Roman" w:cs="Times New Roman"/>
          <w:b/>
          <w:sz w:val="52"/>
          <w:szCs w:val="52"/>
          <w:highlight w:val="none"/>
        </w:rPr>
        <w:t>环境保护验收监测报告表</w:t>
      </w:r>
    </w:p>
    <w:p w14:paraId="02634B0A">
      <w:pPr>
        <w:jc w:val="center"/>
        <w:rPr>
          <w:rFonts w:ascii="Times New Roman" w:hAnsi="Times New Roman" w:cs="Times New Roman"/>
          <w:b/>
          <w:sz w:val="52"/>
          <w:szCs w:val="52"/>
          <w:highlight w:val="none"/>
        </w:rPr>
      </w:pPr>
    </w:p>
    <w:p w14:paraId="1FF188BE">
      <w:pPr>
        <w:jc w:val="center"/>
        <w:rPr>
          <w:rFonts w:ascii="Times New Roman" w:hAnsi="Times New Roman" w:cs="Times New Roman"/>
          <w:sz w:val="36"/>
          <w:szCs w:val="36"/>
          <w:highlight w:val="none"/>
        </w:rPr>
      </w:pPr>
    </w:p>
    <w:p w14:paraId="22FAD14B">
      <w:pPr>
        <w:jc w:val="center"/>
        <w:rPr>
          <w:rFonts w:ascii="Times New Roman" w:hAnsi="Times New Roman" w:cs="Times New Roman"/>
          <w:sz w:val="36"/>
          <w:szCs w:val="36"/>
          <w:highlight w:val="none"/>
        </w:rPr>
      </w:pPr>
    </w:p>
    <w:p w14:paraId="3BE6C236">
      <w:pPr>
        <w:jc w:val="center"/>
        <w:rPr>
          <w:rFonts w:ascii="Times New Roman" w:hAnsi="Times New Roman" w:cs="Times New Roman"/>
          <w:sz w:val="36"/>
          <w:szCs w:val="36"/>
          <w:highlight w:val="none"/>
        </w:rPr>
      </w:pPr>
    </w:p>
    <w:p w14:paraId="19804A4A">
      <w:pPr>
        <w:jc w:val="center"/>
        <w:rPr>
          <w:rFonts w:ascii="Times New Roman" w:hAnsi="Times New Roman" w:cs="Times New Roman"/>
          <w:sz w:val="36"/>
          <w:szCs w:val="36"/>
          <w:highlight w:val="none"/>
        </w:rPr>
      </w:pPr>
    </w:p>
    <w:p w14:paraId="01470223">
      <w:pPr>
        <w:jc w:val="center"/>
        <w:rPr>
          <w:rFonts w:ascii="Times New Roman" w:hAnsi="Times New Roman" w:cs="Times New Roman"/>
          <w:sz w:val="36"/>
          <w:szCs w:val="36"/>
          <w:highlight w:val="none"/>
        </w:rPr>
      </w:pPr>
    </w:p>
    <w:p w14:paraId="790E51A0">
      <w:pPr>
        <w:jc w:val="center"/>
        <w:rPr>
          <w:rFonts w:ascii="Times New Roman" w:hAnsi="Times New Roman" w:cs="Times New Roman"/>
          <w:sz w:val="36"/>
          <w:szCs w:val="36"/>
          <w:highlight w:val="none"/>
        </w:rPr>
      </w:pPr>
    </w:p>
    <w:p w14:paraId="1D074EBD">
      <w:pPr>
        <w:jc w:val="center"/>
        <w:rPr>
          <w:rFonts w:ascii="Times New Roman" w:hAnsi="Times New Roman" w:cs="Times New Roman"/>
          <w:sz w:val="36"/>
          <w:szCs w:val="36"/>
          <w:highlight w:val="none"/>
        </w:rPr>
      </w:pPr>
    </w:p>
    <w:p w14:paraId="17FD15B8">
      <w:pPr>
        <w:jc w:val="center"/>
        <w:rPr>
          <w:rFonts w:ascii="Times New Roman" w:hAnsi="Times New Roman" w:cs="Times New Roman"/>
          <w:sz w:val="36"/>
          <w:szCs w:val="36"/>
          <w:highlight w:val="none"/>
        </w:rPr>
      </w:pPr>
    </w:p>
    <w:p w14:paraId="2F1BFE88">
      <w:pPr>
        <w:ind w:firstLine="1285" w:firstLineChars="400"/>
        <w:rPr>
          <w:rFonts w:hint="eastAsia" w:ascii="Times New Roman" w:hAnsi="Times New Roman" w:cs="Times New Roman" w:eastAsiaTheme="minorEastAsia"/>
          <w:b/>
          <w:sz w:val="32"/>
          <w:szCs w:val="32"/>
          <w:highlight w:val="none"/>
          <w:lang w:eastAsia="zh-CN"/>
        </w:rPr>
      </w:pPr>
      <w:r>
        <w:rPr>
          <w:rFonts w:ascii="Times New Roman" w:hAnsi="Times New Roman" w:cs="Times New Roman"/>
          <w:b/>
          <w:sz w:val="32"/>
          <w:szCs w:val="32"/>
          <w:highlight w:val="none"/>
        </w:rPr>
        <w:t>建设单位：</w:t>
      </w:r>
      <w:r>
        <w:rPr>
          <w:rFonts w:hint="eastAsia" w:ascii="Times New Roman" w:hAnsi="Times New Roman" w:cs="Times New Roman"/>
          <w:b/>
          <w:sz w:val="32"/>
          <w:szCs w:val="32"/>
          <w:highlight w:val="none"/>
          <w:lang w:eastAsia="zh-CN"/>
        </w:rPr>
        <w:t>诺和诺德（中国）制药有限公司</w:t>
      </w:r>
    </w:p>
    <w:p w14:paraId="5A2BD9A1">
      <w:pPr>
        <w:pStyle w:val="5"/>
        <w:ind w:left="0" w:leftChars="0" w:firstLine="1285" w:firstLineChars="400"/>
        <w:rPr>
          <w:rFonts w:hint="default" w:ascii="Times New Roman" w:hAnsi="Times New Roman" w:cs="Times New Roman" w:eastAsiaTheme="minorEastAsia"/>
          <w:b/>
          <w:kern w:val="2"/>
          <w:sz w:val="32"/>
          <w:szCs w:val="32"/>
          <w:highlight w:val="none"/>
          <w:lang w:val="en-US" w:eastAsia="zh-CN" w:bidi="ar-SA"/>
        </w:rPr>
      </w:pPr>
      <w:r>
        <w:rPr>
          <w:rFonts w:hint="eastAsia" w:ascii="Times New Roman" w:hAnsi="Times New Roman" w:cs="Times New Roman" w:eastAsiaTheme="minorEastAsia"/>
          <w:b/>
          <w:kern w:val="2"/>
          <w:sz w:val="32"/>
          <w:szCs w:val="32"/>
          <w:highlight w:val="none"/>
          <w:lang w:val="en-US" w:eastAsia="zh-CN" w:bidi="ar-SA"/>
        </w:rPr>
        <w:t>编制单位：天津欣国环环保科技有限公司</w:t>
      </w:r>
    </w:p>
    <w:p w14:paraId="2D310786">
      <w:pPr>
        <w:jc w:val="center"/>
        <w:rPr>
          <w:rFonts w:ascii="Times New Roman" w:hAnsi="Times New Roman" w:cs="Times New Roman"/>
          <w:b/>
          <w:sz w:val="32"/>
          <w:szCs w:val="32"/>
          <w:highlight w:val="none"/>
        </w:rPr>
      </w:pPr>
    </w:p>
    <w:p w14:paraId="6AC75066">
      <w:pPr>
        <w:jc w:val="center"/>
        <w:rPr>
          <w:rFonts w:ascii="Times New Roman" w:hAnsi="Times New Roman" w:cs="Times New Roman"/>
          <w:b/>
          <w:sz w:val="32"/>
          <w:szCs w:val="32"/>
          <w:highlight w:val="none"/>
        </w:rPr>
      </w:pPr>
      <w:r>
        <w:rPr>
          <w:rFonts w:ascii="Times New Roman" w:hAnsi="Times New Roman" w:cs="Times New Roman"/>
          <w:b/>
          <w:sz w:val="32"/>
          <w:szCs w:val="32"/>
          <w:highlight w:val="none"/>
        </w:rPr>
        <w:t>202</w:t>
      </w:r>
      <w:r>
        <w:rPr>
          <w:rFonts w:hint="eastAsia" w:ascii="Times New Roman" w:hAnsi="Times New Roman" w:cs="Times New Roman"/>
          <w:b/>
          <w:sz w:val="32"/>
          <w:szCs w:val="32"/>
          <w:highlight w:val="none"/>
          <w:lang w:val="en-US" w:eastAsia="zh-CN"/>
        </w:rPr>
        <w:t>6</w:t>
      </w:r>
      <w:r>
        <w:rPr>
          <w:rFonts w:ascii="Times New Roman" w:hAnsi="Times New Roman" w:cs="Times New Roman"/>
          <w:b/>
          <w:sz w:val="32"/>
          <w:szCs w:val="32"/>
          <w:highlight w:val="none"/>
        </w:rPr>
        <w:t>年</w:t>
      </w:r>
      <w:r>
        <w:rPr>
          <w:rFonts w:hint="eastAsia" w:ascii="Times New Roman" w:hAnsi="Times New Roman" w:cs="Times New Roman"/>
          <w:b/>
          <w:sz w:val="32"/>
          <w:szCs w:val="32"/>
          <w:highlight w:val="none"/>
          <w:lang w:val="en-US" w:eastAsia="zh-CN"/>
        </w:rPr>
        <w:t>1</w:t>
      </w:r>
      <w:r>
        <w:rPr>
          <w:rFonts w:ascii="Times New Roman" w:hAnsi="Times New Roman" w:cs="Times New Roman"/>
          <w:b/>
          <w:sz w:val="32"/>
          <w:szCs w:val="32"/>
          <w:highlight w:val="none"/>
        </w:rPr>
        <w:t>月</w:t>
      </w:r>
    </w:p>
    <w:p w14:paraId="6A715052">
      <w:pPr>
        <w:jc w:val="center"/>
        <w:rPr>
          <w:rFonts w:ascii="Times New Roman" w:hAnsi="Times New Roman" w:cs="Times New Roman"/>
          <w:b/>
          <w:sz w:val="32"/>
          <w:szCs w:val="32"/>
          <w:highlight w:val="none"/>
        </w:rPr>
        <w:sectPr>
          <w:footerReference r:id="rId3" w:type="default"/>
          <w:pgSz w:w="11906" w:h="16838"/>
          <w:pgMar w:top="1440" w:right="1800" w:bottom="1440" w:left="1800" w:header="851" w:footer="992" w:gutter="0"/>
          <w:cols w:space="425" w:num="1"/>
          <w:docGrid w:type="lines" w:linePitch="312" w:charSpace="0"/>
        </w:sectPr>
      </w:pPr>
    </w:p>
    <w:p w14:paraId="618F1608">
      <w:pPr>
        <w:jc w:val="center"/>
        <w:rPr>
          <w:rFonts w:ascii="Times New Roman" w:hAnsi="Times New Roman" w:cs="Times New Roman"/>
          <w:b/>
          <w:sz w:val="32"/>
          <w:szCs w:val="32"/>
          <w:highlight w:val="none"/>
        </w:rPr>
        <w:sectPr>
          <w:pgSz w:w="11906" w:h="16838"/>
          <w:pgMar w:top="1440" w:right="1800" w:bottom="1440" w:left="1800" w:header="851" w:footer="992" w:gutter="0"/>
          <w:cols w:space="425" w:num="1"/>
          <w:docGrid w:type="lines" w:linePitch="312" w:charSpace="0"/>
        </w:sectPr>
      </w:pPr>
    </w:p>
    <w:p w14:paraId="576B6DFC">
      <w:pPr>
        <w:spacing w:line="360" w:lineRule="auto"/>
        <w:rPr>
          <w:sz w:val="28"/>
          <w:szCs w:val="28"/>
          <w:highlight w:val="none"/>
        </w:rPr>
      </w:pPr>
    </w:p>
    <w:p w14:paraId="3EA889DD">
      <w:pPr>
        <w:spacing w:line="360" w:lineRule="auto"/>
        <w:rPr>
          <w:rFonts w:hint="eastAsia" w:ascii="Times New Roman" w:hAnsi="Times New Roman" w:eastAsia="宋体" w:cs="Times New Roman"/>
          <w:sz w:val="28"/>
          <w:highlight w:val="none"/>
          <w:lang w:val="en-US" w:eastAsia="zh-CN"/>
        </w:rPr>
      </w:pPr>
      <w:r>
        <w:rPr>
          <w:rFonts w:hint="eastAsia" w:ascii="Times New Roman" w:hAnsi="Times New Roman" w:eastAsia="宋体" w:cs="Times New Roman"/>
          <w:sz w:val="28"/>
          <w:highlight w:val="none"/>
          <w:lang w:val="en-US" w:eastAsia="zh-CN"/>
        </w:rPr>
        <w:t>建设单位法人代表：周霞萍（签字或盖章）</w:t>
      </w:r>
    </w:p>
    <w:p w14:paraId="78673DB6">
      <w:pPr>
        <w:spacing w:line="360" w:lineRule="auto"/>
        <w:rPr>
          <w:rFonts w:hint="eastAsia" w:ascii="Times New Roman" w:hAnsi="Times New Roman" w:eastAsia="宋体" w:cs="Times New Roman"/>
          <w:sz w:val="28"/>
          <w:highlight w:val="none"/>
          <w:lang w:eastAsia="zh-CN"/>
        </w:rPr>
      </w:pPr>
      <w:r>
        <w:rPr>
          <w:rFonts w:hint="eastAsia" w:ascii="Times New Roman" w:hAnsi="Times New Roman" w:eastAsia="宋体" w:cs="Times New Roman"/>
          <w:sz w:val="28"/>
          <w:highlight w:val="none"/>
          <w:lang w:val="en-US" w:eastAsia="zh-CN"/>
        </w:rPr>
        <w:t>编制单位法人代表</w:t>
      </w:r>
      <w:r>
        <w:rPr>
          <w:rFonts w:ascii="Times New Roman" w:hAnsi="Times New Roman" w:eastAsia="宋体" w:cs="Times New Roman"/>
          <w:sz w:val="28"/>
          <w:highlight w:val="none"/>
        </w:rPr>
        <w:t>：</w:t>
      </w:r>
      <w:r>
        <w:rPr>
          <w:rFonts w:hint="eastAsia" w:ascii="Times New Roman" w:hAnsi="Times New Roman" w:eastAsia="宋体" w:cs="Times New Roman"/>
          <w:sz w:val="28"/>
          <w:highlight w:val="none"/>
          <w:lang w:val="en-US" w:eastAsia="zh-CN"/>
        </w:rPr>
        <w:t>项铁丽</w:t>
      </w:r>
      <w:r>
        <w:rPr>
          <w:rFonts w:hint="eastAsia" w:ascii="Times New Roman" w:hAnsi="Times New Roman" w:eastAsia="宋体" w:cs="Times New Roman"/>
          <w:sz w:val="28"/>
          <w:highlight w:val="none"/>
          <w:lang w:eastAsia="zh-CN"/>
        </w:rPr>
        <w:t>（</w:t>
      </w:r>
      <w:r>
        <w:rPr>
          <w:rFonts w:hint="eastAsia" w:ascii="Times New Roman" w:hAnsi="Times New Roman" w:eastAsia="宋体" w:cs="Times New Roman"/>
          <w:sz w:val="28"/>
          <w:highlight w:val="none"/>
          <w:lang w:val="en-US" w:eastAsia="zh-CN"/>
        </w:rPr>
        <w:t>签字或盖章</w:t>
      </w:r>
      <w:r>
        <w:rPr>
          <w:rFonts w:hint="eastAsia" w:ascii="Times New Roman" w:hAnsi="Times New Roman" w:eastAsia="宋体" w:cs="Times New Roman"/>
          <w:sz w:val="28"/>
          <w:highlight w:val="none"/>
          <w:lang w:eastAsia="zh-CN"/>
        </w:rPr>
        <w:t>）</w:t>
      </w:r>
    </w:p>
    <w:p w14:paraId="64BADE11">
      <w:pPr>
        <w:pStyle w:val="5"/>
        <w:ind w:left="0" w:leftChars="0" w:firstLine="0" w:firstLineChars="0"/>
        <w:rPr>
          <w:rFonts w:hint="eastAsia" w:ascii="Times New Roman" w:hAnsi="Times New Roman" w:eastAsia="宋体" w:cs="Times New Roman"/>
          <w:sz w:val="28"/>
          <w:highlight w:val="none"/>
          <w:lang w:val="en-US" w:eastAsia="zh-CN"/>
        </w:rPr>
      </w:pPr>
      <w:r>
        <w:rPr>
          <w:rFonts w:hint="eastAsia" w:ascii="Times New Roman" w:hAnsi="Times New Roman" w:eastAsia="宋体" w:cs="Times New Roman"/>
          <w:sz w:val="28"/>
          <w:highlight w:val="none"/>
          <w:lang w:val="en-US" w:eastAsia="zh-CN"/>
        </w:rPr>
        <w:t>建设单位项目负责人：左晨然（签字）</w:t>
      </w:r>
    </w:p>
    <w:p w14:paraId="1BAF06A2">
      <w:pPr>
        <w:pStyle w:val="6"/>
        <w:rPr>
          <w:rFonts w:hint="eastAsia" w:ascii="Times New Roman" w:hAnsi="Times New Roman" w:eastAsia="宋体" w:cs="Times New Roman"/>
          <w:sz w:val="28"/>
          <w:highlight w:val="none"/>
          <w:lang w:val="en-US" w:eastAsia="zh-CN"/>
        </w:rPr>
      </w:pPr>
      <w:r>
        <w:rPr>
          <w:rFonts w:hint="eastAsia" w:ascii="Times New Roman" w:hAnsi="Times New Roman" w:eastAsia="宋体" w:cs="Times New Roman"/>
          <w:sz w:val="28"/>
          <w:highlight w:val="none"/>
          <w:lang w:val="en-US" w:eastAsia="zh-CN"/>
        </w:rPr>
        <w:t>编制单位项目负责人：李艳（签字）</w:t>
      </w:r>
    </w:p>
    <w:p w14:paraId="420222E9">
      <w:pPr>
        <w:rPr>
          <w:rFonts w:hint="default"/>
          <w:highlight w:val="none"/>
          <w:lang w:val="en-US" w:eastAsia="zh-CN"/>
        </w:rPr>
      </w:pPr>
      <w:r>
        <w:rPr>
          <w:rFonts w:hint="eastAsia" w:ascii="Times New Roman" w:hAnsi="Times New Roman" w:eastAsia="宋体" w:cs="Times New Roman"/>
          <w:sz w:val="28"/>
          <w:highlight w:val="none"/>
          <w:lang w:val="en-US" w:eastAsia="zh-CN"/>
        </w:rPr>
        <w:t>报告编写人：李艳（签字）</w:t>
      </w:r>
    </w:p>
    <w:p w14:paraId="52E81C35">
      <w:pPr>
        <w:rPr>
          <w:rFonts w:hint="default"/>
          <w:highlight w:val="none"/>
          <w:lang w:val="en-US" w:eastAsia="zh-CN"/>
        </w:rPr>
      </w:pPr>
    </w:p>
    <w:p w14:paraId="0B65AC5C">
      <w:pPr>
        <w:rPr>
          <w:rFonts w:ascii="宋体" w:hAnsi="宋体" w:eastAsia="宋体"/>
          <w:highlight w:val="none"/>
        </w:rPr>
      </w:pPr>
    </w:p>
    <w:p w14:paraId="0D3D9F5B">
      <w:pPr>
        <w:rPr>
          <w:highlight w:val="none"/>
        </w:rPr>
      </w:pPr>
    </w:p>
    <w:p w14:paraId="39D998A8">
      <w:pPr>
        <w:rPr>
          <w:highlight w:val="none"/>
        </w:rPr>
      </w:pPr>
    </w:p>
    <w:p w14:paraId="5667C195">
      <w:pPr>
        <w:rPr>
          <w:highlight w:val="none"/>
        </w:rPr>
      </w:pPr>
    </w:p>
    <w:p w14:paraId="7CCBED7F">
      <w:pPr>
        <w:rPr>
          <w:highlight w:val="none"/>
        </w:rPr>
      </w:pPr>
    </w:p>
    <w:p w14:paraId="409BD4EA">
      <w:pPr>
        <w:rPr>
          <w:highlight w:val="none"/>
        </w:rPr>
      </w:pPr>
    </w:p>
    <w:p w14:paraId="26427250">
      <w:pPr>
        <w:rPr>
          <w:highlight w:val="none"/>
        </w:rPr>
      </w:pPr>
    </w:p>
    <w:p w14:paraId="4EB5D8F5">
      <w:pPr>
        <w:rPr>
          <w:highlight w:val="none"/>
        </w:rPr>
      </w:pPr>
    </w:p>
    <w:p w14:paraId="6AC1023D">
      <w:pPr>
        <w:rPr>
          <w:highlight w:val="none"/>
        </w:rPr>
      </w:pPr>
    </w:p>
    <w:p w14:paraId="72D17C09">
      <w:pPr>
        <w:rPr>
          <w:highlight w:val="none"/>
        </w:rPr>
      </w:pPr>
    </w:p>
    <w:p w14:paraId="4DAB90EC">
      <w:pPr>
        <w:jc w:val="center"/>
        <w:rPr>
          <w:rFonts w:ascii="Times New Roman" w:hAnsi="Times New Roman" w:cs="Times New Roman"/>
          <w:b/>
          <w:sz w:val="32"/>
          <w:szCs w:val="32"/>
          <w:highlight w:val="none"/>
        </w:rPr>
      </w:pPr>
    </w:p>
    <w:tbl>
      <w:tblPr>
        <w:tblStyle w:val="19"/>
        <w:tblpPr w:leftFromText="180" w:rightFromText="180" w:vertAnchor="text" w:horzAnchor="page" w:tblpX="1618" w:tblpY="838"/>
        <w:tblOverlap w:val="never"/>
        <w:tblW w:w="8720" w:type="dxa"/>
        <w:tblInd w:w="0" w:type="dxa"/>
        <w:tblLayout w:type="fixed"/>
        <w:tblCellMar>
          <w:top w:w="0" w:type="dxa"/>
          <w:left w:w="108" w:type="dxa"/>
          <w:bottom w:w="0" w:type="dxa"/>
          <w:right w:w="108" w:type="dxa"/>
        </w:tblCellMar>
      </w:tblPr>
      <w:tblGrid>
        <w:gridCol w:w="4360"/>
        <w:gridCol w:w="4360"/>
      </w:tblGrid>
      <w:tr w14:paraId="1AC4D156">
        <w:tblPrEx>
          <w:tblCellMar>
            <w:top w:w="0" w:type="dxa"/>
            <w:left w:w="108" w:type="dxa"/>
            <w:bottom w:w="0" w:type="dxa"/>
            <w:right w:w="108" w:type="dxa"/>
          </w:tblCellMar>
        </w:tblPrEx>
        <w:trPr>
          <w:trHeight w:val="90" w:hRule="atLeast"/>
        </w:trPr>
        <w:tc>
          <w:tcPr>
            <w:tcW w:w="4360" w:type="dxa"/>
          </w:tcPr>
          <w:p w14:paraId="2C595ACC">
            <w:pPr>
              <w:ind w:left="1400" w:hanging="1400" w:hangingChars="500"/>
              <w:jc w:val="left"/>
              <w:rPr>
                <w:rFonts w:ascii="Times New Roman" w:hAnsi="Times New Roman" w:eastAsia="宋体" w:cs="Times New Roman"/>
                <w:sz w:val="28"/>
                <w:highlight w:val="none"/>
              </w:rPr>
            </w:pPr>
            <w:r>
              <w:rPr>
                <w:rFonts w:ascii="Times New Roman" w:hAnsi="Times New Roman" w:eastAsia="宋体" w:cs="Times New Roman"/>
                <w:sz w:val="28"/>
                <w:highlight w:val="none"/>
              </w:rPr>
              <w:t>建设单位：</w:t>
            </w:r>
            <w:r>
              <w:rPr>
                <w:rFonts w:hint="eastAsia" w:ascii="Times New Roman" w:hAnsi="Times New Roman" w:eastAsia="宋体" w:cs="Times New Roman"/>
                <w:sz w:val="28"/>
                <w:highlight w:val="none"/>
                <w:u w:val="single"/>
                <w:lang w:eastAsia="zh-CN"/>
              </w:rPr>
              <w:t>诺和诺德（中国）制药有限公司</w:t>
            </w:r>
            <w:r>
              <w:rPr>
                <w:rFonts w:ascii="Times New Roman" w:hAnsi="Times New Roman" w:eastAsia="宋体" w:cs="Times New Roman"/>
                <w:sz w:val="28"/>
                <w:highlight w:val="none"/>
                <w:u w:val="single"/>
              </w:rPr>
              <w:t>（盖章）</w:t>
            </w:r>
          </w:p>
        </w:tc>
        <w:tc>
          <w:tcPr>
            <w:tcW w:w="4360" w:type="dxa"/>
          </w:tcPr>
          <w:p w14:paraId="1529DF83">
            <w:pPr>
              <w:ind w:left="1400" w:hanging="1400" w:hangingChars="500"/>
              <w:jc w:val="left"/>
              <w:rPr>
                <w:rFonts w:ascii="Times New Roman" w:hAnsi="Times New Roman" w:eastAsia="宋体" w:cs="Times New Roman"/>
                <w:sz w:val="28"/>
                <w:highlight w:val="none"/>
              </w:rPr>
            </w:pPr>
            <w:r>
              <w:rPr>
                <w:rFonts w:hint="eastAsia" w:ascii="Times New Roman" w:hAnsi="Times New Roman" w:eastAsia="宋体" w:cs="Times New Roman"/>
                <w:sz w:val="28"/>
                <w:highlight w:val="none"/>
              </w:rPr>
              <w:t>编制</w:t>
            </w:r>
            <w:r>
              <w:rPr>
                <w:rFonts w:ascii="Times New Roman" w:hAnsi="Times New Roman" w:eastAsia="宋体" w:cs="Times New Roman"/>
                <w:sz w:val="28"/>
                <w:highlight w:val="none"/>
              </w:rPr>
              <w:t>单位：</w:t>
            </w:r>
            <w:r>
              <w:rPr>
                <w:rFonts w:hint="eastAsia" w:ascii="Times New Roman" w:hAnsi="Times New Roman" w:eastAsia="宋体" w:cs="Times New Roman"/>
                <w:sz w:val="28"/>
                <w:highlight w:val="none"/>
                <w:u w:val="single"/>
              </w:rPr>
              <w:t>天津</w:t>
            </w:r>
            <w:r>
              <w:rPr>
                <w:rFonts w:ascii="Times New Roman" w:hAnsi="Times New Roman" w:eastAsia="宋体" w:cs="Times New Roman"/>
                <w:sz w:val="28"/>
                <w:highlight w:val="none"/>
                <w:u w:val="single"/>
              </w:rPr>
              <w:t>欣国环环保科技有限公司（盖章）</w:t>
            </w:r>
          </w:p>
        </w:tc>
      </w:tr>
      <w:tr w14:paraId="41D0B988">
        <w:tblPrEx>
          <w:tblCellMar>
            <w:top w:w="0" w:type="dxa"/>
            <w:left w:w="108" w:type="dxa"/>
            <w:bottom w:w="0" w:type="dxa"/>
            <w:right w:w="108" w:type="dxa"/>
          </w:tblCellMar>
        </w:tblPrEx>
        <w:tc>
          <w:tcPr>
            <w:tcW w:w="4360" w:type="dxa"/>
          </w:tcPr>
          <w:p w14:paraId="74C3C149">
            <w:pPr>
              <w:jc w:val="left"/>
              <w:rPr>
                <w:rFonts w:hint="eastAsia" w:ascii="Times New Roman" w:hAnsi="Times New Roman" w:eastAsia="宋体" w:cs="Times New Roman"/>
                <w:sz w:val="28"/>
                <w:highlight w:val="none"/>
                <w:lang w:eastAsia="zh-CN"/>
              </w:rPr>
            </w:pPr>
            <w:r>
              <w:rPr>
                <w:rFonts w:ascii="Times New Roman" w:hAnsi="Times New Roman" w:eastAsia="宋体" w:cs="Times New Roman"/>
                <w:sz w:val="28"/>
                <w:highlight w:val="none"/>
              </w:rPr>
              <w:t>电话：</w:t>
            </w:r>
            <w:r>
              <w:rPr>
                <w:rFonts w:hint="eastAsia" w:ascii="Times New Roman" w:hAnsi="Times New Roman" w:eastAsia="宋体" w:cs="Times New Roman"/>
                <w:sz w:val="28"/>
                <w:highlight w:val="none"/>
                <w:lang w:val="en-US" w:eastAsia="zh-CN"/>
              </w:rPr>
              <w:t>/</w:t>
            </w:r>
          </w:p>
        </w:tc>
        <w:tc>
          <w:tcPr>
            <w:tcW w:w="4360" w:type="dxa"/>
          </w:tcPr>
          <w:p w14:paraId="7D455CEB">
            <w:pPr>
              <w:jc w:val="left"/>
              <w:rPr>
                <w:rFonts w:ascii="Times New Roman" w:hAnsi="Times New Roman" w:eastAsia="宋体" w:cs="Times New Roman"/>
                <w:sz w:val="28"/>
                <w:highlight w:val="none"/>
              </w:rPr>
            </w:pPr>
            <w:r>
              <w:rPr>
                <w:rFonts w:ascii="Times New Roman" w:hAnsi="Times New Roman" w:eastAsia="宋体" w:cs="Times New Roman"/>
                <w:sz w:val="28"/>
                <w:highlight w:val="none"/>
              </w:rPr>
              <w:t>电话：23772736</w:t>
            </w:r>
          </w:p>
        </w:tc>
      </w:tr>
      <w:tr w14:paraId="19EA6580">
        <w:tblPrEx>
          <w:tblCellMar>
            <w:top w:w="0" w:type="dxa"/>
            <w:left w:w="108" w:type="dxa"/>
            <w:bottom w:w="0" w:type="dxa"/>
            <w:right w:w="108" w:type="dxa"/>
          </w:tblCellMar>
        </w:tblPrEx>
        <w:tc>
          <w:tcPr>
            <w:tcW w:w="4360" w:type="dxa"/>
          </w:tcPr>
          <w:p w14:paraId="39A43E45">
            <w:pPr>
              <w:jc w:val="left"/>
              <w:rPr>
                <w:rFonts w:hint="default" w:ascii="Times New Roman" w:hAnsi="Times New Roman" w:eastAsia="宋体" w:cs="Times New Roman"/>
                <w:sz w:val="28"/>
                <w:highlight w:val="none"/>
                <w:lang w:val="en-US" w:eastAsia="zh-CN"/>
              </w:rPr>
            </w:pPr>
            <w:r>
              <w:rPr>
                <w:rFonts w:hint="eastAsia" w:ascii="Times New Roman" w:hAnsi="Times New Roman" w:eastAsia="宋体" w:cs="Times New Roman"/>
                <w:sz w:val="28"/>
                <w:highlight w:val="none"/>
                <w:lang w:val="en-US" w:eastAsia="zh-CN"/>
              </w:rPr>
              <w:t>传真：/</w:t>
            </w:r>
          </w:p>
        </w:tc>
        <w:tc>
          <w:tcPr>
            <w:tcW w:w="4360" w:type="dxa"/>
          </w:tcPr>
          <w:p w14:paraId="00FF1D4E">
            <w:pPr>
              <w:jc w:val="left"/>
              <w:rPr>
                <w:rFonts w:hint="default" w:ascii="Times New Roman" w:hAnsi="Times New Roman" w:eastAsia="宋体" w:cs="Times New Roman"/>
                <w:sz w:val="28"/>
                <w:highlight w:val="none"/>
                <w:lang w:val="en-US"/>
              </w:rPr>
            </w:pPr>
            <w:r>
              <w:rPr>
                <w:rFonts w:hint="eastAsia" w:ascii="Times New Roman" w:hAnsi="Times New Roman" w:eastAsia="宋体" w:cs="Times New Roman"/>
                <w:sz w:val="28"/>
                <w:highlight w:val="none"/>
                <w:lang w:val="en-US" w:eastAsia="zh-CN"/>
              </w:rPr>
              <w:t>传真：/</w:t>
            </w:r>
          </w:p>
        </w:tc>
      </w:tr>
      <w:tr w14:paraId="5E210B52">
        <w:tblPrEx>
          <w:tblCellMar>
            <w:top w:w="0" w:type="dxa"/>
            <w:left w:w="108" w:type="dxa"/>
            <w:bottom w:w="0" w:type="dxa"/>
            <w:right w:w="108" w:type="dxa"/>
          </w:tblCellMar>
        </w:tblPrEx>
        <w:trPr>
          <w:trHeight w:val="90" w:hRule="atLeast"/>
        </w:trPr>
        <w:tc>
          <w:tcPr>
            <w:tcW w:w="4360" w:type="dxa"/>
          </w:tcPr>
          <w:p w14:paraId="1356F0F4">
            <w:pPr>
              <w:jc w:val="left"/>
              <w:rPr>
                <w:rFonts w:hint="eastAsia" w:ascii="Times New Roman" w:hAnsi="Times New Roman" w:eastAsia="宋体" w:cs="Times New Roman"/>
                <w:sz w:val="28"/>
                <w:highlight w:val="none"/>
                <w:lang w:eastAsia="zh-CN"/>
              </w:rPr>
            </w:pPr>
            <w:r>
              <w:rPr>
                <w:rFonts w:ascii="Times New Roman" w:hAnsi="Times New Roman" w:eastAsia="宋体" w:cs="Times New Roman"/>
                <w:sz w:val="28"/>
                <w:highlight w:val="none"/>
              </w:rPr>
              <w:t>邮编：</w:t>
            </w:r>
            <w:r>
              <w:rPr>
                <w:rFonts w:hint="eastAsia" w:ascii="Times New Roman" w:hAnsi="Times New Roman" w:eastAsia="宋体" w:cs="Times New Roman"/>
                <w:sz w:val="28"/>
                <w:highlight w:val="none"/>
              </w:rPr>
              <w:t>30045</w:t>
            </w:r>
            <w:r>
              <w:rPr>
                <w:rFonts w:hint="eastAsia" w:ascii="Times New Roman" w:hAnsi="Times New Roman" w:eastAsia="宋体" w:cs="Times New Roman"/>
                <w:sz w:val="28"/>
                <w:highlight w:val="none"/>
                <w:lang w:val="en-US" w:eastAsia="zh-CN"/>
              </w:rPr>
              <w:t>0</w:t>
            </w:r>
          </w:p>
        </w:tc>
        <w:tc>
          <w:tcPr>
            <w:tcW w:w="4360" w:type="dxa"/>
          </w:tcPr>
          <w:p w14:paraId="3CE44BE7">
            <w:pPr>
              <w:jc w:val="left"/>
              <w:rPr>
                <w:rFonts w:ascii="Times New Roman" w:hAnsi="Times New Roman" w:eastAsia="宋体" w:cs="Times New Roman"/>
                <w:sz w:val="28"/>
                <w:highlight w:val="none"/>
              </w:rPr>
            </w:pPr>
            <w:r>
              <w:rPr>
                <w:rFonts w:ascii="Times New Roman" w:hAnsi="Times New Roman" w:eastAsia="宋体" w:cs="Times New Roman"/>
                <w:sz w:val="28"/>
                <w:highlight w:val="none"/>
              </w:rPr>
              <w:t>邮编：</w:t>
            </w:r>
            <w:r>
              <w:rPr>
                <w:rFonts w:hint="eastAsia" w:ascii="Times New Roman" w:hAnsi="Times New Roman" w:eastAsia="宋体" w:cs="Times New Roman"/>
                <w:sz w:val="28"/>
                <w:highlight w:val="none"/>
              </w:rPr>
              <w:t>300300</w:t>
            </w:r>
          </w:p>
        </w:tc>
      </w:tr>
      <w:tr w14:paraId="78D94087">
        <w:tblPrEx>
          <w:tblCellMar>
            <w:top w:w="0" w:type="dxa"/>
            <w:left w:w="108" w:type="dxa"/>
            <w:bottom w:w="0" w:type="dxa"/>
            <w:right w:w="108" w:type="dxa"/>
          </w:tblCellMar>
        </w:tblPrEx>
        <w:tc>
          <w:tcPr>
            <w:tcW w:w="4360" w:type="dxa"/>
          </w:tcPr>
          <w:p w14:paraId="33D48290">
            <w:pPr>
              <w:jc w:val="left"/>
              <w:rPr>
                <w:rFonts w:ascii="宋体" w:hAnsi="宋体" w:eastAsia="宋体"/>
                <w:sz w:val="28"/>
                <w:szCs w:val="28"/>
                <w:highlight w:val="none"/>
              </w:rPr>
            </w:pPr>
            <w:r>
              <w:rPr>
                <w:rFonts w:ascii="Times New Roman" w:hAnsi="Times New Roman" w:eastAsia="宋体" w:cs="Times New Roman"/>
                <w:sz w:val="28"/>
                <w:highlight w:val="none"/>
              </w:rPr>
              <w:t>地址：天津经济技术开发区</w:t>
            </w:r>
            <w:bookmarkStart w:id="2" w:name="OLE_LINK7"/>
            <w:bookmarkStart w:id="3" w:name="OLE_LINK3"/>
            <w:r>
              <w:rPr>
                <w:rFonts w:hint="eastAsia" w:ascii="Times New Roman" w:hAnsi="Times New Roman" w:eastAsia="宋体" w:cs="Times New Roman"/>
                <w:sz w:val="28"/>
                <w:highlight w:val="none"/>
              </w:rPr>
              <w:t>东区</w:t>
            </w:r>
            <w:r>
              <w:rPr>
                <w:rFonts w:ascii="Times New Roman" w:hAnsi="Times New Roman" w:eastAsia="宋体" w:cs="Times New Roman"/>
                <w:sz w:val="28"/>
                <w:highlight w:val="none"/>
              </w:rPr>
              <w:t>相安路</w:t>
            </w:r>
            <w:r>
              <w:rPr>
                <w:rFonts w:hint="eastAsia" w:ascii="Times New Roman" w:hAnsi="Times New Roman" w:eastAsia="宋体" w:cs="Times New Roman"/>
                <w:sz w:val="28"/>
                <w:highlight w:val="none"/>
              </w:rPr>
              <w:t>31号</w:t>
            </w:r>
            <w:bookmarkEnd w:id="2"/>
            <w:bookmarkEnd w:id="3"/>
          </w:p>
        </w:tc>
        <w:tc>
          <w:tcPr>
            <w:tcW w:w="4360" w:type="dxa"/>
          </w:tcPr>
          <w:p w14:paraId="7935B2DB">
            <w:pPr>
              <w:jc w:val="left"/>
              <w:rPr>
                <w:rFonts w:ascii="宋体" w:hAnsi="宋体" w:eastAsia="宋体"/>
                <w:sz w:val="28"/>
                <w:szCs w:val="28"/>
                <w:highlight w:val="none"/>
              </w:rPr>
            </w:pPr>
            <w:r>
              <w:rPr>
                <w:rFonts w:ascii="Times New Roman" w:hAnsi="Times New Roman" w:eastAsia="宋体" w:cs="Times New Roman"/>
                <w:sz w:val="28"/>
                <w:highlight w:val="none"/>
              </w:rPr>
              <w:t>地址：</w:t>
            </w:r>
            <w:r>
              <w:rPr>
                <w:rFonts w:hint="eastAsia" w:ascii="Times New Roman" w:hAnsi="Times New Roman" w:eastAsia="宋体" w:cs="Times New Roman"/>
                <w:sz w:val="28"/>
                <w:highlight w:val="none"/>
              </w:rPr>
              <w:t>华苑产业区海泰发展五道16号B2楼-3-202</w:t>
            </w:r>
          </w:p>
        </w:tc>
      </w:tr>
    </w:tbl>
    <w:p w14:paraId="4F119396">
      <w:pPr>
        <w:pStyle w:val="47"/>
        <w:rPr>
          <w:color w:val="auto"/>
          <w:highlight w:val="none"/>
        </w:rPr>
        <w:sectPr>
          <w:pgSz w:w="11906" w:h="16838"/>
          <w:pgMar w:top="1440" w:right="1800" w:bottom="1440" w:left="1800" w:header="851" w:footer="992" w:gutter="0"/>
          <w:cols w:space="425" w:num="1"/>
          <w:docGrid w:type="lines" w:linePitch="312" w:charSpace="0"/>
        </w:sectPr>
      </w:pPr>
    </w:p>
    <w:sdt>
      <w:sdtPr>
        <w:rPr>
          <w:rFonts w:asciiTheme="minorHAnsi" w:hAnsiTheme="minorHAnsi" w:eastAsiaTheme="minorEastAsia" w:cstheme="minorBidi"/>
          <w:color w:val="auto"/>
          <w:kern w:val="2"/>
          <w:sz w:val="21"/>
          <w:szCs w:val="22"/>
          <w:highlight w:val="none"/>
          <w:lang w:val="zh-CN"/>
        </w:rPr>
        <w:id w:val="1352136036"/>
        <w:docPartObj>
          <w:docPartGallery w:val="Table of Contents"/>
          <w:docPartUnique/>
        </w:docPartObj>
      </w:sdtPr>
      <w:sdtEndPr>
        <w:rPr>
          <w:rFonts w:asciiTheme="minorHAnsi" w:hAnsiTheme="minorHAnsi" w:eastAsiaTheme="minorEastAsia" w:cstheme="minorBidi"/>
          <w:b/>
          <w:bCs/>
          <w:color w:val="auto"/>
          <w:kern w:val="2"/>
          <w:sz w:val="21"/>
          <w:szCs w:val="22"/>
          <w:highlight w:val="none"/>
          <w:lang w:val="zh-CN"/>
        </w:rPr>
      </w:sdtEndPr>
      <w:sdtContent>
        <w:p w14:paraId="5A2D9576">
          <w:pPr>
            <w:pStyle w:val="60"/>
            <w:jc w:val="center"/>
            <w:rPr>
              <w:color w:val="auto"/>
              <w:highlight w:val="none"/>
            </w:rPr>
          </w:pPr>
          <w:r>
            <w:rPr>
              <w:color w:val="auto"/>
              <w:highlight w:val="none"/>
              <w:lang w:val="zh-CN"/>
            </w:rPr>
            <w:t>目录</w:t>
          </w:r>
        </w:p>
        <w:p w14:paraId="3775BCA3">
          <w:pPr>
            <w:pStyle w:val="6"/>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"_Toc112582493" </w:instrText>
          </w:r>
          <w:r>
            <w:rPr>
              <w:highlight w:val="none"/>
            </w:rPr>
            <w:fldChar w:fldCharType="separate"/>
          </w:r>
          <w:r>
            <w:rPr>
              <w:rStyle w:val="23"/>
              <w:rFonts w:ascii="Times New Roman" w:hAnsi="Times New Roman" w:cs="Times New Roman"/>
              <w:color w:val="auto"/>
              <w:highlight w:val="none"/>
            </w:rPr>
            <w:t>表一</w:t>
          </w:r>
          <w:r>
            <w:rPr>
              <w:highlight w:val="none"/>
            </w:rPr>
            <w:tab/>
          </w:r>
          <w:r>
            <w:rPr>
              <w:highlight w:val="none"/>
            </w:rPr>
            <w:fldChar w:fldCharType="begin"/>
          </w:r>
          <w:r>
            <w:rPr>
              <w:highlight w:val="none"/>
            </w:rPr>
            <w:instrText xml:space="preserve"> PAGEREF _Toc112582493 \h </w:instrText>
          </w:r>
          <w:r>
            <w:rPr>
              <w:highlight w:val="none"/>
            </w:rPr>
            <w:fldChar w:fldCharType="separate"/>
          </w:r>
          <w:r>
            <w:rPr>
              <w:highlight w:val="none"/>
            </w:rPr>
            <w:t>1</w:t>
          </w:r>
          <w:r>
            <w:rPr>
              <w:highlight w:val="none"/>
            </w:rPr>
            <w:fldChar w:fldCharType="end"/>
          </w:r>
          <w:r>
            <w:rPr>
              <w:highlight w:val="none"/>
            </w:rPr>
            <w:fldChar w:fldCharType="end"/>
          </w:r>
        </w:p>
        <w:p w14:paraId="2A4D362B">
          <w:pPr>
            <w:pStyle w:val="6"/>
            <w:rPr>
              <w:highlight w:val="none"/>
            </w:rPr>
          </w:pPr>
          <w:r>
            <w:rPr>
              <w:highlight w:val="none"/>
            </w:rPr>
            <w:fldChar w:fldCharType="begin"/>
          </w:r>
          <w:r>
            <w:rPr>
              <w:highlight w:val="none"/>
            </w:rPr>
            <w:instrText xml:space="preserve"> HYPERLINK \l "_Toc112582494" </w:instrText>
          </w:r>
          <w:r>
            <w:rPr>
              <w:highlight w:val="none"/>
            </w:rPr>
            <w:fldChar w:fldCharType="separate"/>
          </w:r>
          <w:r>
            <w:rPr>
              <w:rStyle w:val="23"/>
              <w:rFonts w:ascii="Times New Roman" w:hAnsi="Times New Roman" w:cs="Times New Roman"/>
              <w:color w:val="auto"/>
              <w:highlight w:val="none"/>
            </w:rPr>
            <w:t>表二</w:t>
          </w:r>
          <w:r>
            <w:rPr>
              <w:highlight w:val="none"/>
            </w:rPr>
            <w:tab/>
          </w:r>
          <w:r>
            <w:rPr>
              <w:highlight w:val="none"/>
            </w:rPr>
            <w:fldChar w:fldCharType="begin"/>
          </w:r>
          <w:r>
            <w:rPr>
              <w:highlight w:val="none"/>
            </w:rPr>
            <w:instrText xml:space="preserve"> PAGEREF _Toc112582494 \h </w:instrText>
          </w:r>
          <w:r>
            <w:rPr>
              <w:highlight w:val="none"/>
            </w:rPr>
            <w:fldChar w:fldCharType="separate"/>
          </w:r>
          <w:r>
            <w:rPr>
              <w:highlight w:val="none"/>
            </w:rPr>
            <w:t>6</w:t>
          </w:r>
          <w:r>
            <w:rPr>
              <w:highlight w:val="none"/>
            </w:rPr>
            <w:fldChar w:fldCharType="end"/>
          </w:r>
          <w:r>
            <w:rPr>
              <w:highlight w:val="none"/>
            </w:rPr>
            <w:fldChar w:fldCharType="end"/>
          </w:r>
        </w:p>
        <w:p w14:paraId="0CF142EA">
          <w:pPr>
            <w:pStyle w:val="6"/>
            <w:rPr>
              <w:highlight w:val="none"/>
            </w:rPr>
          </w:pPr>
          <w:r>
            <w:rPr>
              <w:highlight w:val="none"/>
            </w:rPr>
            <w:fldChar w:fldCharType="begin"/>
          </w:r>
          <w:r>
            <w:rPr>
              <w:highlight w:val="none"/>
            </w:rPr>
            <w:instrText xml:space="preserve"> HYPERLINK \l "_Toc112582504" </w:instrText>
          </w:r>
          <w:r>
            <w:rPr>
              <w:highlight w:val="none"/>
            </w:rPr>
            <w:fldChar w:fldCharType="separate"/>
          </w:r>
          <w:r>
            <w:rPr>
              <w:rStyle w:val="23"/>
              <w:rFonts w:ascii="Times New Roman" w:hAnsi="Times New Roman" w:cs="Times New Roman"/>
              <w:color w:val="auto"/>
              <w:highlight w:val="none"/>
            </w:rPr>
            <w:t>表三</w:t>
          </w:r>
          <w:r>
            <w:rPr>
              <w:highlight w:val="none"/>
            </w:rPr>
            <w:tab/>
          </w:r>
          <w:r>
            <w:rPr>
              <w:highlight w:val="none"/>
            </w:rPr>
            <w:fldChar w:fldCharType="begin"/>
          </w:r>
          <w:r>
            <w:rPr>
              <w:highlight w:val="none"/>
            </w:rPr>
            <w:instrText xml:space="preserve"> PAGEREF _Toc112582504 \h </w:instrText>
          </w:r>
          <w:r>
            <w:rPr>
              <w:highlight w:val="none"/>
            </w:rPr>
            <w:fldChar w:fldCharType="separate"/>
          </w:r>
          <w:r>
            <w:rPr>
              <w:highlight w:val="none"/>
            </w:rPr>
            <w:t>42</w:t>
          </w:r>
          <w:r>
            <w:rPr>
              <w:highlight w:val="none"/>
            </w:rPr>
            <w:fldChar w:fldCharType="end"/>
          </w:r>
          <w:r>
            <w:rPr>
              <w:highlight w:val="none"/>
            </w:rPr>
            <w:fldChar w:fldCharType="end"/>
          </w:r>
        </w:p>
        <w:p w14:paraId="518D1BEB">
          <w:pPr>
            <w:pStyle w:val="6"/>
            <w:rPr>
              <w:highlight w:val="none"/>
            </w:rPr>
          </w:pPr>
          <w:r>
            <w:rPr>
              <w:highlight w:val="none"/>
            </w:rPr>
            <w:fldChar w:fldCharType="begin"/>
          </w:r>
          <w:r>
            <w:rPr>
              <w:highlight w:val="none"/>
            </w:rPr>
            <w:instrText xml:space="preserve"> HYPERLINK \l "_Toc112582534" </w:instrText>
          </w:r>
          <w:r>
            <w:rPr>
              <w:highlight w:val="none"/>
            </w:rPr>
            <w:fldChar w:fldCharType="separate"/>
          </w:r>
          <w:r>
            <w:rPr>
              <w:rStyle w:val="23"/>
              <w:rFonts w:ascii="Times New Roman" w:hAnsi="Times New Roman" w:cs="Times New Roman"/>
              <w:color w:val="auto"/>
              <w:highlight w:val="none"/>
            </w:rPr>
            <w:t>表四</w:t>
          </w:r>
          <w:r>
            <w:rPr>
              <w:highlight w:val="none"/>
            </w:rPr>
            <w:tab/>
          </w:r>
          <w:r>
            <w:rPr>
              <w:highlight w:val="none"/>
            </w:rPr>
            <w:fldChar w:fldCharType="begin"/>
          </w:r>
          <w:r>
            <w:rPr>
              <w:highlight w:val="none"/>
            </w:rPr>
            <w:instrText xml:space="preserve"> PAGEREF _Toc112582534 \h </w:instrText>
          </w:r>
          <w:r>
            <w:rPr>
              <w:highlight w:val="none"/>
            </w:rPr>
            <w:fldChar w:fldCharType="separate"/>
          </w:r>
          <w:r>
            <w:rPr>
              <w:highlight w:val="none"/>
            </w:rPr>
            <w:t>55</w:t>
          </w:r>
          <w:r>
            <w:rPr>
              <w:highlight w:val="none"/>
            </w:rPr>
            <w:fldChar w:fldCharType="end"/>
          </w:r>
          <w:r>
            <w:rPr>
              <w:highlight w:val="none"/>
            </w:rPr>
            <w:fldChar w:fldCharType="end"/>
          </w:r>
        </w:p>
        <w:p w14:paraId="0ADBB0BB">
          <w:pPr>
            <w:pStyle w:val="6"/>
            <w:rPr>
              <w:highlight w:val="none"/>
            </w:rPr>
          </w:pPr>
          <w:r>
            <w:rPr>
              <w:highlight w:val="none"/>
            </w:rPr>
            <w:fldChar w:fldCharType="begin"/>
          </w:r>
          <w:r>
            <w:rPr>
              <w:highlight w:val="none"/>
            </w:rPr>
            <w:instrText xml:space="preserve"> HYPERLINK \l "_Toc112582540" </w:instrText>
          </w:r>
          <w:r>
            <w:rPr>
              <w:highlight w:val="none"/>
            </w:rPr>
            <w:fldChar w:fldCharType="separate"/>
          </w:r>
          <w:r>
            <w:rPr>
              <w:rStyle w:val="23"/>
              <w:rFonts w:ascii="Times New Roman" w:hAnsi="Times New Roman" w:cs="Times New Roman"/>
              <w:color w:val="auto"/>
              <w:highlight w:val="none"/>
            </w:rPr>
            <w:t>表五</w:t>
          </w:r>
          <w:r>
            <w:rPr>
              <w:highlight w:val="none"/>
            </w:rPr>
            <w:tab/>
          </w:r>
          <w:r>
            <w:rPr>
              <w:highlight w:val="none"/>
            </w:rPr>
            <w:fldChar w:fldCharType="begin"/>
          </w:r>
          <w:r>
            <w:rPr>
              <w:highlight w:val="none"/>
            </w:rPr>
            <w:instrText xml:space="preserve"> PAGEREF _Toc112582540 \h </w:instrText>
          </w:r>
          <w:r>
            <w:rPr>
              <w:highlight w:val="none"/>
            </w:rPr>
            <w:fldChar w:fldCharType="separate"/>
          </w:r>
          <w:r>
            <w:rPr>
              <w:highlight w:val="none"/>
            </w:rPr>
            <w:t>61</w:t>
          </w:r>
          <w:r>
            <w:rPr>
              <w:highlight w:val="none"/>
            </w:rPr>
            <w:fldChar w:fldCharType="end"/>
          </w:r>
          <w:r>
            <w:rPr>
              <w:highlight w:val="none"/>
            </w:rPr>
            <w:fldChar w:fldCharType="end"/>
          </w:r>
        </w:p>
        <w:p w14:paraId="11EAAACF">
          <w:pPr>
            <w:pStyle w:val="6"/>
            <w:rPr>
              <w:highlight w:val="none"/>
            </w:rPr>
          </w:pPr>
          <w:r>
            <w:rPr>
              <w:highlight w:val="none"/>
            </w:rPr>
            <w:fldChar w:fldCharType="begin"/>
          </w:r>
          <w:r>
            <w:rPr>
              <w:highlight w:val="none"/>
            </w:rPr>
            <w:instrText xml:space="preserve"> HYPERLINK \l "_Toc112582548" </w:instrText>
          </w:r>
          <w:r>
            <w:rPr>
              <w:highlight w:val="none"/>
            </w:rPr>
            <w:fldChar w:fldCharType="separate"/>
          </w:r>
          <w:r>
            <w:rPr>
              <w:rStyle w:val="23"/>
              <w:rFonts w:ascii="Times New Roman" w:hAnsi="Times New Roman" w:cs="Times New Roman"/>
              <w:color w:val="auto"/>
              <w:highlight w:val="none"/>
            </w:rPr>
            <w:t>表六</w:t>
          </w:r>
          <w:r>
            <w:rPr>
              <w:highlight w:val="none"/>
            </w:rPr>
            <w:tab/>
          </w:r>
          <w:r>
            <w:rPr>
              <w:highlight w:val="none"/>
            </w:rPr>
            <w:fldChar w:fldCharType="begin"/>
          </w:r>
          <w:r>
            <w:rPr>
              <w:highlight w:val="none"/>
            </w:rPr>
            <w:instrText xml:space="preserve"> PAGEREF _Toc112582548 \h </w:instrText>
          </w:r>
          <w:r>
            <w:rPr>
              <w:highlight w:val="none"/>
            </w:rPr>
            <w:fldChar w:fldCharType="separate"/>
          </w:r>
          <w:r>
            <w:rPr>
              <w:highlight w:val="none"/>
            </w:rPr>
            <w:t>69</w:t>
          </w:r>
          <w:r>
            <w:rPr>
              <w:highlight w:val="none"/>
            </w:rPr>
            <w:fldChar w:fldCharType="end"/>
          </w:r>
          <w:r>
            <w:rPr>
              <w:highlight w:val="none"/>
            </w:rPr>
            <w:fldChar w:fldCharType="end"/>
          </w:r>
        </w:p>
        <w:p w14:paraId="1D3BB135">
          <w:pPr>
            <w:pStyle w:val="6"/>
            <w:rPr>
              <w:highlight w:val="none"/>
            </w:rPr>
          </w:pPr>
          <w:r>
            <w:rPr>
              <w:highlight w:val="none"/>
            </w:rPr>
            <w:fldChar w:fldCharType="begin"/>
          </w:r>
          <w:r>
            <w:rPr>
              <w:highlight w:val="none"/>
            </w:rPr>
            <w:instrText xml:space="preserve"> HYPERLINK \l "_Toc112582553" </w:instrText>
          </w:r>
          <w:r>
            <w:rPr>
              <w:highlight w:val="none"/>
            </w:rPr>
            <w:fldChar w:fldCharType="separate"/>
          </w:r>
          <w:r>
            <w:rPr>
              <w:rStyle w:val="23"/>
              <w:rFonts w:ascii="Times New Roman" w:hAnsi="Times New Roman" w:cs="Times New Roman"/>
              <w:color w:val="auto"/>
              <w:highlight w:val="none"/>
            </w:rPr>
            <w:t>表七</w:t>
          </w:r>
          <w:r>
            <w:rPr>
              <w:highlight w:val="none"/>
            </w:rPr>
            <w:tab/>
          </w:r>
          <w:r>
            <w:rPr>
              <w:highlight w:val="none"/>
            </w:rPr>
            <w:fldChar w:fldCharType="begin"/>
          </w:r>
          <w:r>
            <w:rPr>
              <w:highlight w:val="none"/>
            </w:rPr>
            <w:instrText xml:space="preserve"> PAGEREF _Toc112582553 \h </w:instrText>
          </w:r>
          <w:r>
            <w:rPr>
              <w:highlight w:val="none"/>
            </w:rPr>
            <w:fldChar w:fldCharType="separate"/>
          </w:r>
          <w:r>
            <w:rPr>
              <w:highlight w:val="none"/>
            </w:rPr>
            <w:t>71</w:t>
          </w:r>
          <w:r>
            <w:rPr>
              <w:highlight w:val="none"/>
            </w:rPr>
            <w:fldChar w:fldCharType="end"/>
          </w:r>
          <w:r>
            <w:rPr>
              <w:highlight w:val="none"/>
            </w:rPr>
            <w:fldChar w:fldCharType="end"/>
          </w:r>
        </w:p>
        <w:p w14:paraId="51C785BF">
          <w:pPr>
            <w:pStyle w:val="6"/>
            <w:rPr>
              <w:highlight w:val="none"/>
            </w:rPr>
          </w:pPr>
          <w:r>
            <w:rPr>
              <w:highlight w:val="none"/>
            </w:rPr>
            <w:fldChar w:fldCharType="begin"/>
          </w:r>
          <w:r>
            <w:rPr>
              <w:highlight w:val="none"/>
            </w:rPr>
            <w:instrText xml:space="preserve"> HYPERLINK \l "_Toc112582559" </w:instrText>
          </w:r>
          <w:r>
            <w:rPr>
              <w:highlight w:val="none"/>
            </w:rPr>
            <w:fldChar w:fldCharType="separate"/>
          </w:r>
          <w:r>
            <w:rPr>
              <w:rStyle w:val="23"/>
              <w:rFonts w:ascii="Times New Roman" w:hAnsi="Times New Roman" w:cs="Times New Roman"/>
              <w:color w:val="auto"/>
              <w:highlight w:val="none"/>
            </w:rPr>
            <w:t>表八</w:t>
          </w:r>
          <w:r>
            <w:rPr>
              <w:highlight w:val="none"/>
            </w:rPr>
            <w:tab/>
          </w:r>
          <w:r>
            <w:rPr>
              <w:highlight w:val="none"/>
            </w:rPr>
            <w:fldChar w:fldCharType="begin"/>
          </w:r>
          <w:r>
            <w:rPr>
              <w:highlight w:val="none"/>
            </w:rPr>
            <w:instrText xml:space="preserve"> PAGEREF _Toc112582559 \h </w:instrText>
          </w:r>
          <w:r>
            <w:rPr>
              <w:highlight w:val="none"/>
            </w:rPr>
            <w:fldChar w:fldCharType="separate"/>
          </w:r>
          <w:r>
            <w:rPr>
              <w:highlight w:val="none"/>
            </w:rPr>
            <w:t>82</w:t>
          </w:r>
          <w:r>
            <w:rPr>
              <w:highlight w:val="none"/>
            </w:rPr>
            <w:fldChar w:fldCharType="end"/>
          </w:r>
          <w:r>
            <w:rPr>
              <w:highlight w:val="none"/>
            </w:rPr>
            <w:fldChar w:fldCharType="end"/>
          </w:r>
        </w:p>
        <w:p w14:paraId="79B6980E">
          <w:pPr>
            <w:rPr>
              <w:highlight w:val="none"/>
            </w:rPr>
          </w:pPr>
          <w:r>
            <w:rPr>
              <w:b/>
              <w:bCs/>
              <w:highlight w:val="none"/>
              <w:lang w:val="zh-CN"/>
            </w:rPr>
            <w:fldChar w:fldCharType="end"/>
          </w:r>
        </w:p>
      </w:sdtContent>
    </w:sdt>
    <w:p w14:paraId="55C4D775">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附图</w:t>
      </w:r>
    </w:p>
    <w:p w14:paraId="36C370B0">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附图1项目地理位置图</w:t>
      </w:r>
    </w:p>
    <w:p w14:paraId="5C2117AB">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附图2项目周边环境</w:t>
      </w:r>
      <w:r>
        <w:rPr>
          <w:rFonts w:hint="eastAsia" w:ascii="Times New Roman" w:hAnsi="Times New Roman" w:cs="Times New Roman"/>
          <w:sz w:val="24"/>
          <w:highlight w:val="none"/>
        </w:rPr>
        <w:t>图</w:t>
      </w:r>
    </w:p>
    <w:p w14:paraId="058535BC">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附图3</w:t>
      </w:r>
      <w:r>
        <w:rPr>
          <w:rFonts w:hint="eastAsia" w:ascii="Times New Roman" w:hAnsi="Times New Roman" w:cs="Times New Roman"/>
          <w:sz w:val="24"/>
          <w:highlight w:val="none"/>
          <w:lang w:val="en-US" w:eastAsia="zh-CN"/>
        </w:rPr>
        <w:t>厂区</w:t>
      </w:r>
      <w:r>
        <w:rPr>
          <w:rFonts w:ascii="Times New Roman" w:hAnsi="Times New Roman" w:cs="Times New Roman"/>
          <w:sz w:val="24"/>
          <w:highlight w:val="none"/>
        </w:rPr>
        <w:t>平面布置图</w:t>
      </w:r>
    </w:p>
    <w:p w14:paraId="77FC17DA">
      <w:pPr>
        <w:spacing w:line="480" w:lineRule="exact"/>
        <w:ind w:right="105" w:rightChars="50"/>
        <w:rPr>
          <w:rFonts w:hint="default" w:ascii="Times New Roman" w:hAnsi="Times New Roman" w:cs="Times New Roman"/>
          <w:sz w:val="24"/>
          <w:highlight w:val="none"/>
          <w:lang w:val="en-US" w:eastAsia="zh-CN"/>
        </w:rPr>
      </w:pPr>
      <w:r>
        <w:rPr>
          <w:rFonts w:hint="eastAsia" w:ascii="Times New Roman" w:hAnsi="Times New Roman" w:cs="Times New Roman"/>
          <w:sz w:val="24"/>
          <w:highlight w:val="none"/>
          <w:lang w:val="en-US" w:eastAsia="zh-CN"/>
        </w:rPr>
        <w:t>附图4库房平面布局图</w:t>
      </w:r>
    </w:p>
    <w:p w14:paraId="1DDE6687">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附图</w:t>
      </w:r>
      <w:r>
        <w:rPr>
          <w:rFonts w:hint="eastAsia" w:ascii="Times New Roman" w:hAnsi="Times New Roman" w:cs="Times New Roman"/>
          <w:sz w:val="24"/>
          <w:highlight w:val="none"/>
          <w:lang w:val="en-US" w:eastAsia="zh-CN"/>
        </w:rPr>
        <w:t>5</w:t>
      </w:r>
      <w:r>
        <w:rPr>
          <w:rFonts w:ascii="Times New Roman" w:hAnsi="Times New Roman" w:cs="Times New Roman"/>
          <w:sz w:val="24"/>
          <w:highlight w:val="none"/>
        </w:rPr>
        <w:t>监测点位示意图</w:t>
      </w:r>
    </w:p>
    <w:p w14:paraId="0B6A135C">
      <w:pPr>
        <w:spacing w:line="480" w:lineRule="exact"/>
        <w:ind w:right="105" w:rightChars="50"/>
        <w:rPr>
          <w:rFonts w:ascii="Times New Roman" w:hAnsi="Times New Roman" w:cs="Times New Roman"/>
          <w:sz w:val="24"/>
          <w:highlight w:val="none"/>
        </w:rPr>
      </w:pPr>
    </w:p>
    <w:p w14:paraId="5E5971A2">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附件</w:t>
      </w:r>
    </w:p>
    <w:p w14:paraId="364DB2BA">
      <w:pPr>
        <w:spacing w:line="480" w:lineRule="exact"/>
        <w:ind w:right="105" w:rightChars="50"/>
        <w:rPr>
          <w:rFonts w:ascii="Times New Roman" w:hAnsi="Times New Roman" w:cs="Times New Roman"/>
          <w:sz w:val="24"/>
          <w:highlight w:val="none"/>
        </w:rPr>
      </w:pPr>
      <w:r>
        <w:rPr>
          <w:rFonts w:ascii="Times New Roman" w:hAnsi="Times New Roman" w:cs="Times New Roman"/>
          <w:sz w:val="24"/>
          <w:highlight w:val="none"/>
        </w:rPr>
        <w:t>附件1环境影响报告表批复</w:t>
      </w:r>
    </w:p>
    <w:p w14:paraId="30569063">
      <w:pPr>
        <w:spacing w:line="480" w:lineRule="exact"/>
        <w:ind w:right="105" w:rightChars="5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bidi="ar"/>
        </w:rPr>
        <w:t>附件2排污许</w:t>
      </w:r>
      <w:r>
        <w:rPr>
          <w:rFonts w:hint="eastAsia" w:ascii="Times New Roman" w:hAnsi="Times New Roman" w:eastAsia="宋体" w:cs="Times New Roman"/>
          <w:sz w:val="24"/>
          <w:highlight w:val="none"/>
          <w:lang w:val="en-US" w:eastAsia="zh-CN" w:bidi="ar"/>
        </w:rPr>
        <w:t>登记表及回执</w:t>
      </w:r>
    </w:p>
    <w:p w14:paraId="34B10CCD">
      <w:pPr>
        <w:spacing w:line="480" w:lineRule="exact"/>
        <w:ind w:right="105" w:rightChars="5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bidi="ar"/>
        </w:rPr>
        <w:t>附件3</w:t>
      </w:r>
      <w:r>
        <w:rPr>
          <w:rFonts w:hint="eastAsia" w:ascii="Times New Roman" w:hAnsi="Times New Roman" w:eastAsia="宋体" w:cs="Times New Roman"/>
          <w:sz w:val="24"/>
          <w:highlight w:val="none"/>
          <w:lang w:val="en-US" w:eastAsia="zh-CN" w:bidi="ar"/>
        </w:rPr>
        <w:t>检测报告</w:t>
      </w:r>
    </w:p>
    <w:p w14:paraId="26DC6E56">
      <w:pPr>
        <w:spacing w:line="480" w:lineRule="exact"/>
        <w:ind w:right="105" w:rightChars="5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bidi="ar"/>
        </w:rPr>
        <w:t>附件4</w:t>
      </w:r>
      <w:r>
        <w:rPr>
          <w:rFonts w:hint="eastAsia" w:ascii="Times New Roman" w:hAnsi="Times New Roman" w:eastAsia="宋体" w:cs="Times New Roman"/>
          <w:sz w:val="24"/>
          <w:highlight w:val="none"/>
          <w:lang w:val="en-US" w:eastAsia="zh-CN" w:bidi="ar"/>
        </w:rPr>
        <w:t>应急预案备案表</w:t>
      </w:r>
    </w:p>
    <w:p w14:paraId="7D35B670">
      <w:pPr>
        <w:spacing w:line="480" w:lineRule="exact"/>
        <w:ind w:right="105" w:rightChars="50"/>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附件5工况证明</w:t>
      </w:r>
    </w:p>
    <w:p w14:paraId="0BED7221">
      <w:pPr>
        <w:spacing w:line="480" w:lineRule="exact"/>
        <w:ind w:right="105" w:rightChars="50"/>
        <w:rPr>
          <w:rFonts w:hint="eastAsia" w:ascii="Times New Roman" w:hAnsi="Times New Roman" w:eastAsia="宋体" w:cs="Times New Roman"/>
          <w:sz w:val="24"/>
          <w:highlight w:val="none"/>
          <w:lang w:val="en-US" w:eastAsia="zh-CN" w:bidi="ar"/>
        </w:rPr>
      </w:pPr>
      <w:r>
        <w:rPr>
          <w:rFonts w:hint="eastAsia" w:ascii="Times New Roman" w:hAnsi="Times New Roman" w:eastAsia="宋体" w:cs="Times New Roman"/>
          <w:sz w:val="24"/>
          <w:highlight w:val="none"/>
          <w:lang w:val="en-US" w:eastAsia="zh-CN" w:bidi="ar"/>
        </w:rPr>
        <w:t>附件6危废协议</w:t>
      </w:r>
    </w:p>
    <w:p w14:paraId="3F2902BD">
      <w:pPr>
        <w:spacing w:line="480" w:lineRule="exact"/>
        <w:ind w:right="105" w:rightChars="50"/>
        <w:rPr>
          <w:rFonts w:hint="default" w:ascii="Times New Roman" w:hAnsi="Times New Roman" w:eastAsia="宋体" w:cs="Times New Roman"/>
          <w:sz w:val="24"/>
          <w:highlight w:val="none"/>
          <w:lang w:val="en-US" w:eastAsia="zh-CN" w:bidi="ar"/>
        </w:rPr>
      </w:pPr>
      <w:r>
        <w:rPr>
          <w:rFonts w:hint="eastAsia" w:ascii="Times New Roman" w:hAnsi="Times New Roman" w:eastAsia="宋体" w:cs="Times New Roman"/>
          <w:sz w:val="24"/>
          <w:highlight w:val="none"/>
          <w:lang w:val="en-US" w:eastAsia="zh-CN" w:bidi="ar"/>
        </w:rPr>
        <w:t>附件7管理制度</w:t>
      </w:r>
    </w:p>
    <w:p w14:paraId="6F9DFCF4">
      <w:pPr>
        <w:pStyle w:val="47"/>
        <w:rPr>
          <w:rFonts w:eastAsia="楷体"/>
          <w:color w:val="auto"/>
          <w:highlight w:val="none"/>
        </w:rPr>
      </w:pPr>
    </w:p>
    <w:p w14:paraId="12EB333A">
      <w:pPr>
        <w:spacing w:line="480" w:lineRule="exact"/>
        <w:ind w:right="105" w:rightChars="50"/>
        <w:rPr>
          <w:rFonts w:eastAsia="楷体"/>
          <w:sz w:val="24"/>
          <w:highlight w:val="none"/>
        </w:rPr>
        <w:sectPr>
          <w:headerReference r:id="rId4" w:type="default"/>
          <w:pgSz w:w="11906" w:h="16838"/>
          <w:pgMar w:top="1440" w:right="1800" w:bottom="1440" w:left="1800" w:header="851" w:footer="992" w:gutter="0"/>
          <w:cols w:space="720" w:num="1"/>
          <w:docGrid w:type="lines" w:linePitch="312" w:charSpace="0"/>
        </w:sectPr>
      </w:pPr>
    </w:p>
    <w:p w14:paraId="28ECD18A">
      <w:pPr>
        <w:rPr>
          <w:rFonts w:ascii="Times New Roman" w:hAnsi="Times New Roman" w:cs="Times New Roman"/>
          <w:sz w:val="24"/>
          <w:szCs w:val="24"/>
          <w:highlight w:val="yellow"/>
        </w:rPr>
      </w:pPr>
    </w:p>
    <w:p w14:paraId="5E7E60B5">
      <w:pPr>
        <w:rPr>
          <w:rFonts w:ascii="Times New Roman" w:hAnsi="Times New Roman" w:cs="Times New Roman"/>
          <w:sz w:val="32"/>
          <w:szCs w:val="32"/>
          <w:highlight w:val="yellow"/>
        </w:rPr>
        <w:sectPr>
          <w:pgSz w:w="11906" w:h="16838"/>
          <w:pgMar w:top="1440" w:right="1800" w:bottom="1440" w:left="1800" w:header="851" w:footer="992" w:gutter="0"/>
          <w:cols w:space="425" w:num="1"/>
          <w:docGrid w:type="lines" w:linePitch="312" w:charSpace="0"/>
        </w:sectPr>
      </w:pPr>
    </w:p>
    <w:p w14:paraId="45214FE8">
      <w:pPr>
        <w:spacing w:line="276" w:lineRule="auto"/>
        <w:jc w:val="left"/>
        <w:outlineLvl w:val="0"/>
        <w:rPr>
          <w:rFonts w:ascii="Times New Roman" w:hAnsi="Times New Roman" w:cs="Times New Roman"/>
          <w:sz w:val="28"/>
          <w:szCs w:val="28"/>
          <w:highlight w:val="none"/>
        </w:rPr>
      </w:pPr>
      <w:bookmarkStart w:id="4" w:name="_Toc112582493"/>
      <w:r>
        <w:rPr>
          <w:rFonts w:ascii="Times New Roman" w:hAnsi="Times New Roman" w:cs="Times New Roman"/>
          <w:sz w:val="28"/>
          <w:szCs w:val="28"/>
          <w:highlight w:val="none"/>
        </w:rPr>
        <w:t>表一</w:t>
      </w:r>
      <w:bookmarkEnd w:id="4"/>
    </w:p>
    <w:tbl>
      <w:tblPr>
        <w:tblStyle w:val="20"/>
        <w:tblpPr w:leftFromText="180" w:rightFromText="180" w:vertAnchor="text" w:tblpXSpec="center" w:tblpY="1"/>
        <w:tblOverlap w:val="never"/>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583"/>
        <w:gridCol w:w="1214"/>
        <w:gridCol w:w="1121"/>
        <w:gridCol w:w="845"/>
        <w:gridCol w:w="1324"/>
      </w:tblGrid>
      <w:tr w14:paraId="76FF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0EF0FD3A">
            <w:pPr>
              <w:spacing w:line="36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建设项目名称</w:t>
            </w:r>
          </w:p>
        </w:tc>
        <w:tc>
          <w:tcPr>
            <w:tcW w:w="7087" w:type="dxa"/>
            <w:gridSpan w:val="5"/>
          </w:tcPr>
          <w:p w14:paraId="73B948B8">
            <w:pPr>
              <w:spacing w:line="360" w:lineRule="auto"/>
              <w:jc w:val="cente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kern w:val="0"/>
                <w:sz w:val="24"/>
                <w:highlight w:val="none"/>
                <w:lang w:eastAsia="zh-CN"/>
              </w:rPr>
              <w:t>诺和诺德（中国）制药有限公司</w:t>
            </w:r>
            <w:r>
              <w:rPr>
                <w:rFonts w:hint="eastAsia" w:ascii="Times New Roman" w:hAnsi="Times New Roman" w:cs="Times New Roman"/>
                <w:bCs/>
                <w:sz w:val="24"/>
                <w:szCs w:val="24"/>
                <w:highlight w:val="none"/>
                <w:lang w:eastAsia="zh-CN"/>
              </w:rPr>
              <w:t>无菌生产厂项目W2-仓库2</w:t>
            </w:r>
          </w:p>
        </w:tc>
      </w:tr>
      <w:tr w14:paraId="2DE4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7EA60363">
            <w:pPr>
              <w:spacing w:line="36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建设单位</w:t>
            </w:r>
          </w:p>
        </w:tc>
        <w:tc>
          <w:tcPr>
            <w:tcW w:w="7087" w:type="dxa"/>
            <w:gridSpan w:val="5"/>
          </w:tcPr>
          <w:p w14:paraId="0F89E1BE">
            <w:pPr>
              <w:spacing w:line="360" w:lineRule="auto"/>
              <w:jc w:val="cente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kern w:val="0"/>
                <w:sz w:val="24"/>
                <w:highlight w:val="none"/>
                <w:lang w:eastAsia="zh-CN"/>
              </w:rPr>
              <w:t>诺和诺德（中国）制药有限公司</w:t>
            </w:r>
          </w:p>
        </w:tc>
      </w:tr>
      <w:tr w14:paraId="5DED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vAlign w:val="center"/>
          </w:tcPr>
          <w:p w14:paraId="354C1366">
            <w:pPr>
              <w:spacing w:line="360" w:lineRule="auto"/>
              <w:jc w:val="center"/>
              <w:rPr>
                <w:rFonts w:ascii="Times New Roman" w:hAnsi="Times New Roman" w:cs="Times New Roman" w:eastAsiaTheme="minorEastAsia"/>
                <w:kern w:val="2"/>
                <w:sz w:val="24"/>
                <w:szCs w:val="24"/>
                <w:highlight w:val="none"/>
                <w:lang w:val="en-US" w:eastAsia="zh-CN" w:bidi="ar-SA"/>
              </w:rPr>
            </w:pPr>
            <w:r>
              <w:rPr>
                <w:rFonts w:ascii="Times New Roman" w:hAnsi="Times New Roman" w:cs="Times New Roman"/>
                <w:sz w:val="24"/>
                <w:szCs w:val="24"/>
                <w:highlight w:val="none"/>
              </w:rPr>
              <w:t>建设项目性质</w:t>
            </w:r>
          </w:p>
        </w:tc>
        <w:tc>
          <w:tcPr>
            <w:tcW w:w="7087" w:type="dxa"/>
            <w:gridSpan w:val="5"/>
            <w:shd w:val="clear" w:color="auto" w:fill="auto"/>
            <w:vAlign w:val="center"/>
          </w:tcPr>
          <w:p w14:paraId="6E6DA38A">
            <w:pPr>
              <w:spacing w:line="360" w:lineRule="auto"/>
              <w:jc w:val="both"/>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sz w:val="24"/>
                <w:szCs w:val="24"/>
                <w:highlight w:val="none"/>
                <w:lang w:val="en-US" w:eastAsia="zh-CN"/>
              </w:rPr>
              <w:t>□新建  ☑改</w:t>
            </w:r>
            <w:r>
              <w:rPr>
                <w:rFonts w:hint="eastAsia" w:ascii="Times New Roman" w:hAnsi="Times New Roman" w:cs="Times New Roman"/>
                <w:sz w:val="24"/>
                <w:szCs w:val="24"/>
                <w:highlight w:val="none"/>
              </w:rPr>
              <w:t>扩建</w:t>
            </w:r>
            <w:r>
              <w:rPr>
                <w:rFonts w:hint="eastAsia" w:ascii="Times New Roman" w:hAnsi="Times New Roman" w:cs="Times New Roman"/>
                <w:sz w:val="24"/>
                <w:szCs w:val="24"/>
                <w:highlight w:val="none"/>
                <w:lang w:val="en-US" w:eastAsia="zh-CN"/>
              </w:rPr>
              <w:t xml:space="preserve">  □技改  □迁建</w:t>
            </w:r>
          </w:p>
        </w:tc>
      </w:tr>
      <w:tr w14:paraId="1771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25269FF3">
            <w:pPr>
              <w:spacing w:line="36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建设地点</w:t>
            </w:r>
          </w:p>
        </w:tc>
        <w:tc>
          <w:tcPr>
            <w:tcW w:w="7087" w:type="dxa"/>
            <w:gridSpan w:val="5"/>
          </w:tcPr>
          <w:p w14:paraId="31F7C46A">
            <w:pPr>
              <w:spacing w:line="360" w:lineRule="auto"/>
              <w:jc w:val="center"/>
              <w:rPr>
                <w:rFonts w:hint="eastAsia" w:ascii="Times New Roman" w:hAnsi="Times New Roman" w:cs="Times New Roman" w:eastAsiaTheme="minorEastAsia"/>
                <w:sz w:val="24"/>
                <w:szCs w:val="24"/>
                <w:highlight w:val="none"/>
                <w:lang w:eastAsia="zh-CN"/>
              </w:rPr>
            </w:pPr>
            <w:r>
              <w:rPr>
                <w:rFonts w:hint="eastAsia" w:ascii="Times New Roman" w:hAnsi="Times New Roman" w:cs="Times New Roman"/>
                <w:kern w:val="0"/>
                <w:sz w:val="24"/>
                <w:highlight w:val="none"/>
                <w:lang w:eastAsia="zh-CN"/>
              </w:rPr>
              <w:t>天津经济技术开发区东区相安路31号</w:t>
            </w:r>
          </w:p>
        </w:tc>
      </w:tr>
      <w:tr w14:paraId="1962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23B9FEC8">
            <w:pPr>
              <w:spacing w:line="360" w:lineRule="auto"/>
              <w:jc w:val="center"/>
              <w:rPr>
                <w:rFonts w:ascii="Times New Roman" w:hAnsi="Times New Roman" w:cs="Times New Roman"/>
                <w:sz w:val="24"/>
                <w:szCs w:val="24"/>
                <w:highlight w:val="none"/>
              </w:rPr>
            </w:pPr>
            <w:r>
              <w:rPr>
                <w:rFonts w:ascii="Times New Roman" w:hAnsi="Times New Roman" w:cs="Times New Roman"/>
                <w:sz w:val="24"/>
                <w:szCs w:val="24"/>
                <w:highlight w:val="none"/>
              </w:rPr>
              <w:t>主要产品名称</w:t>
            </w:r>
          </w:p>
        </w:tc>
        <w:tc>
          <w:tcPr>
            <w:tcW w:w="7087" w:type="dxa"/>
            <w:gridSpan w:val="5"/>
            <w:vAlign w:val="center"/>
          </w:tcPr>
          <w:p w14:paraId="2E2CE4B0">
            <w:pPr>
              <w:spacing w:line="360" w:lineRule="auto"/>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rPr>
              <w:t>/</w:t>
            </w:r>
          </w:p>
        </w:tc>
      </w:tr>
      <w:tr w14:paraId="2661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0A7563D8">
            <w:pPr>
              <w:spacing w:line="360" w:lineRule="auto"/>
              <w:jc w:val="center"/>
              <w:rPr>
                <w:rFonts w:ascii="Times New Roman" w:hAnsi="Times New Roman" w:cs="Times New Roman"/>
                <w:sz w:val="24"/>
                <w:szCs w:val="24"/>
                <w:highlight w:val="none"/>
              </w:rPr>
            </w:pPr>
            <w:r>
              <w:rPr>
                <w:rFonts w:ascii="Times New Roman" w:hAnsi="Times New Roman" w:cs="Times New Roman"/>
                <w:sz w:val="24"/>
                <w:szCs w:val="24"/>
                <w:highlight w:val="none"/>
              </w:rPr>
              <w:t>设计</w:t>
            </w:r>
            <w:r>
              <w:rPr>
                <w:rFonts w:hint="eastAsia" w:ascii="Times New Roman" w:hAnsi="Times New Roman" w:cs="Times New Roman"/>
                <w:sz w:val="24"/>
                <w:szCs w:val="24"/>
                <w:highlight w:val="none"/>
                <w:lang w:val="en-US" w:eastAsia="zh-CN"/>
              </w:rPr>
              <w:t>生产</w:t>
            </w:r>
            <w:r>
              <w:rPr>
                <w:rFonts w:ascii="Times New Roman" w:hAnsi="Times New Roman" w:cs="Times New Roman"/>
                <w:sz w:val="24"/>
                <w:szCs w:val="24"/>
                <w:highlight w:val="none"/>
              </w:rPr>
              <w:t>能力</w:t>
            </w:r>
          </w:p>
        </w:tc>
        <w:tc>
          <w:tcPr>
            <w:tcW w:w="7087" w:type="dxa"/>
            <w:gridSpan w:val="5"/>
          </w:tcPr>
          <w:p w14:paraId="421BF7E9">
            <w:pPr>
              <w:spacing w:line="360" w:lineRule="auto"/>
              <w:jc w:val="center"/>
              <w:rPr>
                <w:rFonts w:hint="default" w:ascii="Times New Roman" w:hAnsi="Times New Roman" w:cs="Times New Roman" w:eastAsiaTheme="minorEastAsia"/>
                <w:sz w:val="24"/>
                <w:szCs w:val="24"/>
                <w:highlight w:val="yellow"/>
                <w:lang w:val="en-US" w:eastAsia="zh-CN"/>
              </w:rPr>
            </w:pPr>
            <w:r>
              <w:rPr>
                <w:rFonts w:hint="eastAsia" w:ascii="Times New Roman" w:hAnsi="Times New Roman" w:cs="Times New Roman"/>
                <w:sz w:val="24"/>
                <w:szCs w:val="24"/>
                <w:highlight w:val="none"/>
              </w:rPr>
              <w:t>/</w:t>
            </w:r>
          </w:p>
        </w:tc>
      </w:tr>
      <w:tr w14:paraId="2E4D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350D16B8">
            <w:pPr>
              <w:spacing w:line="360" w:lineRule="auto"/>
              <w:jc w:val="center"/>
              <w:rPr>
                <w:rFonts w:ascii="Times New Roman" w:hAnsi="Times New Roman" w:cs="Times New Roman"/>
                <w:sz w:val="24"/>
                <w:szCs w:val="24"/>
                <w:highlight w:val="none"/>
              </w:rPr>
            </w:pPr>
            <w:r>
              <w:rPr>
                <w:rFonts w:ascii="Times New Roman" w:hAnsi="Times New Roman" w:cs="Times New Roman"/>
                <w:sz w:val="24"/>
                <w:szCs w:val="24"/>
                <w:highlight w:val="none"/>
              </w:rPr>
              <w:t>实际</w:t>
            </w:r>
            <w:r>
              <w:rPr>
                <w:rFonts w:hint="eastAsia" w:ascii="Times New Roman" w:hAnsi="Times New Roman" w:cs="Times New Roman"/>
                <w:sz w:val="24"/>
                <w:szCs w:val="24"/>
                <w:highlight w:val="none"/>
                <w:lang w:val="en-US" w:eastAsia="zh-CN"/>
              </w:rPr>
              <w:t>生产</w:t>
            </w:r>
            <w:r>
              <w:rPr>
                <w:rFonts w:ascii="Times New Roman" w:hAnsi="Times New Roman" w:cs="Times New Roman"/>
                <w:sz w:val="24"/>
                <w:szCs w:val="24"/>
                <w:highlight w:val="none"/>
              </w:rPr>
              <w:t>能力</w:t>
            </w:r>
          </w:p>
        </w:tc>
        <w:tc>
          <w:tcPr>
            <w:tcW w:w="7087" w:type="dxa"/>
            <w:gridSpan w:val="5"/>
          </w:tcPr>
          <w:p w14:paraId="4D4687A6">
            <w:pPr>
              <w:spacing w:line="360" w:lineRule="auto"/>
              <w:jc w:val="center"/>
              <w:rPr>
                <w:rFonts w:ascii="Times New Roman" w:hAnsi="Times New Roman" w:cs="Times New Roman"/>
                <w:sz w:val="24"/>
                <w:szCs w:val="24"/>
                <w:highlight w:val="yellow"/>
              </w:rPr>
            </w:pPr>
            <w:r>
              <w:rPr>
                <w:rFonts w:hint="eastAsia" w:ascii="Times New Roman" w:hAnsi="Times New Roman" w:cs="Times New Roman"/>
                <w:sz w:val="24"/>
                <w:szCs w:val="24"/>
                <w:highlight w:val="none"/>
              </w:rPr>
              <w:t>/</w:t>
            </w:r>
          </w:p>
        </w:tc>
      </w:tr>
      <w:tr w14:paraId="4FC2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vAlign w:val="center"/>
          </w:tcPr>
          <w:p w14:paraId="53A7F78D">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建设项目环评时间</w:t>
            </w:r>
          </w:p>
        </w:tc>
        <w:tc>
          <w:tcPr>
            <w:tcW w:w="2583" w:type="dxa"/>
            <w:shd w:val="clear" w:color="auto" w:fill="auto"/>
            <w:vAlign w:val="center"/>
          </w:tcPr>
          <w:p w14:paraId="5D25E763">
            <w:pPr>
              <w:jc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2025.4</w:t>
            </w:r>
          </w:p>
        </w:tc>
        <w:tc>
          <w:tcPr>
            <w:tcW w:w="1214" w:type="dxa"/>
            <w:shd w:val="clear" w:color="auto" w:fill="auto"/>
            <w:vAlign w:val="center"/>
          </w:tcPr>
          <w:p w14:paraId="6DF5378D">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开工建设时间</w:t>
            </w:r>
          </w:p>
        </w:tc>
        <w:tc>
          <w:tcPr>
            <w:tcW w:w="3290" w:type="dxa"/>
            <w:gridSpan w:val="3"/>
            <w:shd w:val="clear" w:color="auto" w:fill="auto"/>
            <w:vAlign w:val="center"/>
          </w:tcPr>
          <w:p w14:paraId="395C5C9C">
            <w:pPr>
              <w:jc w:val="center"/>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2025.5</w:t>
            </w:r>
          </w:p>
        </w:tc>
      </w:tr>
      <w:tr w14:paraId="069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139A4BD4">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调试时间</w:t>
            </w:r>
          </w:p>
        </w:tc>
        <w:tc>
          <w:tcPr>
            <w:tcW w:w="2583" w:type="dxa"/>
            <w:vAlign w:val="center"/>
          </w:tcPr>
          <w:p w14:paraId="6B6FC053">
            <w:pPr>
              <w:jc w:val="center"/>
              <w:rPr>
                <w:rFonts w:hint="eastAsia"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w:t>
            </w:r>
          </w:p>
        </w:tc>
        <w:tc>
          <w:tcPr>
            <w:tcW w:w="1214" w:type="dxa"/>
            <w:vAlign w:val="center"/>
          </w:tcPr>
          <w:p w14:paraId="33946DF4">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验收现场监测时间</w:t>
            </w:r>
          </w:p>
        </w:tc>
        <w:tc>
          <w:tcPr>
            <w:tcW w:w="3290" w:type="dxa"/>
            <w:gridSpan w:val="3"/>
            <w:vAlign w:val="center"/>
          </w:tcPr>
          <w:p w14:paraId="3BE02E77">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rPr>
              <w:t>202</w:t>
            </w:r>
            <w:r>
              <w:rPr>
                <w:rFonts w:hint="eastAsia" w:ascii="Times New Roman" w:hAnsi="Times New Roman" w:cs="Times New Roman"/>
                <w:sz w:val="24"/>
                <w:szCs w:val="24"/>
                <w:highlight w:val="none"/>
                <w:lang w:val="en-US" w:eastAsia="zh-CN"/>
              </w:rPr>
              <w:t>5</w:t>
            </w:r>
            <w:r>
              <w:rPr>
                <w:rFonts w:hint="eastAsia" w:ascii="Times New Roman" w:hAnsi="Times New Roman" w:cs="Times New Roman"/>
                <w:sz w:val="24"/>
                <w:szCs w:val="24"/>
                <w:highlight w:val="none"/>
              </w:rPr>
              <w:t>年</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rPr>
              <w:t>月</w:t>
            </w:r>
            <w:r>
              <w:rPr>
                <w:rFonts w:hint="eastAsia" w:ascii="Times New Roman" w:hAnsi="Times New Roman" w:cs="Times New Roman"/>
                <w:sz w:val="24"/>
                <w:szCs w:val="24"/>
                <w:highlight w:val="none"/>
                <w:lang w:val="en-US" w:eastAsia="zh-CN"/>
              </w:rPr>
              <w:t>27</w:t>
            </w:r>
            <w:r>
              <w:rPr>
                <w:rFonts w:hint="eastAsia" w:ascii="Times New Roman" w:hAnsi="Times New Roman" w:cs="Times New Roman"/>
                <w:sz w:val="24"/>
                <w:szCs w:val="24"/>
                <w:highlight w:val="none"/>
              </w:rPr>
              <w:t>日~</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rPr>
              <w:t>月</w:t>
            </w:r>
            <w:r>
              <w:rPr>
                <w:rFonts w:hint="eastAsia" w:ascii="Times New Roman" w:hAnsi="Times New Roman" w:cs="Times New Roman"/>
                <w:sz w:val="24"/>
                <w:szCs w:val="24"/>
                <w:highlight w:val="none"/>
                <w:lang w:val="en-US" w:eastAsia="zh-CN"/>
              </w:rPr>
              <w:t>28</w:t>
            </w:r>
            <w:r>
              <w:rPr>
                <w:rFonts w:hint="eastAsia" w:ascii="Times New Roman" w:hAnsi="Times New Roman" w:cs="Times New Roman"/>
                <w:sz w:val="24"/>
                <w:szCs w:val="24"/>
                <w:highlight w:val="none"/>
              </w:rPr>
              <w:t>日</w:t>
            </w:r>
          </w:p>
        </w:tc>
      </w:tr>
      <w:tr w14:paraId="15B3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669A8E90">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环评报告表审批部门</w:t>
            </w:r>
          </w:p>
        </w:tc>
        <w:tc>
          <w:tcPr>
            <w:tcW w:w="2583" w:type="dxa"/>
            <w:vAlign w:val="center"/>
          </w:tcPr>
          <w:p w14:paraId="035DF6E4">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rPr>
              <w:t>天津经济技术开发区生态环境局</w:t>
            </w:r>
          </w:p>
        </w:tc>
        <w:tc>
          <w:tcPr>
            <w:tcW w:w="1214" w:type="dxa"/>
            <w:vAlign w:val="center"/>
          </w:tcPr>
          <w:p w14:paraId="791BA6F2">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环评报告表编制单位</w:t>
            </w:r>
          </w:p>
        </w:tc>
        <w:tc>
          <w:tcPr>
            <w:tcW w:w="3290" w:type="dxa"/>
            <w:gridSpan w:val="3"/>
            <w:vAlign w:val="center"/>
          </w:tcPr>
          <w:p w14:paraId="114B1316">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rPr>
              <w:t>天津欣国环环保科技有限公司</w:t>
            </w:r>
          </w:p>
        </w:tc>
      </w:tr>
      <w:tr w14:paraId="6AD6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69B17E8D">
            <w:pPr>
              <w:jc w:val="left"/>
              <w:rPr>
                <w:rFonts w:ascii="Times New Roman" w:hAnsi="Times New Roman" w:cs="Times New Roman"/>
                <w:sz w:val="24"/>
                <w:szCs w:val="24"/>
                <w:highlight w:val="none"/>
              </w:rPr>
            </w:pPr>
            <w:r>
              <w:rPr>
                <w:rFonts w:ascii="Times New Roman" w:hAnsi="Times New Roman" w:cs="Times New Roman"/>
                <w:sz w:val="24"/>
                <w:szCs w:val="24"/>
                <w:highlight w:val="none"/>
              </w:rPr>
              <w:t>环保设施设计单位</w:t>
            </w:r>
          </w:p>
        </w:tc>
        <w:tc>
          <w:tcPr>
            <w:tcW w:w="2583" w:type="dxa"/>
            <w:vAlign w:val="center"/>
          </w:tcPr>
          <w:p w14:paraId="195103CF">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无</w:t>
            </w:r>
          </w:p>
        </w:tc>
        <w:tc>
          <w:tcPr>
            <w:tcW w:w="1214" w:type="dxa"/>
            <w:vAlign w:val="center"/>
          </w:tcPr>
          <w:p w14:paraId="225C50CD">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环保设施施工单位</w:t>
            </w:r>
          </w:p>
        </w:tc>
        <w:tc>
          <w:tcPr>
            <w:tcW w:w="3290" w:type="dxa"/>
            <w:gridSpan w:val="3"/>
            <w:vAlign w:val="center"/>
          </w:tcPr>
          <w:p w14:paraId="6A13AC5C">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无</w:t>
            </w:r>
          </w:p>
        </w:tc>
      </w:tr>
      <w:tr w14:paraId="20F1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7DFC3590">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投资总概算</w:t>
            </w:r>
          </w:p>
        </w:tc>
        <w:tc>
          <w:tcPr>
            <w:tcW w:w="2583" w:type="dxa"/>
          </w:tcPr>
          <w:p w14:paraId="41435110">
            <w:pPr>
              <w:spacing w:line="360" w:lineRule="auto"/>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2500</w:t>
            </w:r>
            <w:r>
              <w:rPr>
                <w:rFonts w:ascii="Times New Roman" w:hAnsi="Times New Roman" w:cs="Times New Roman"/>
                <w:sz w:val="24"/>
                <w:szCs w:val="24"/>
                <w:highlight w:val="none"/>
              </w:rPr>
              <w:t>万元</w:t>
            </w:r>
          </w:p>
        </w:tc>
        <w:tc>
          <w:tcPr>
            <w:tcW w:w="1214" w:type="dxa"/>
            <w:vAlign w:val="center"/>
          </w:tcPr>
          <w:p w14:paraId="5F89CBE7">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环保投资总概算</w:t>
            </w:r>
          </w:p>
        </w:tc>
        <w:tc>
          <w:tcPr>
            <w:tcW w:w="1121" w:type="dxa"/>
            <w:vAlign w:val="center"/>
          </w:tcPr>
          <w:p w14:paraId="2E785925">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30</w:t>
            </w:r>
            <w:r>
              <w:rPr>
                <w:rFonts w:ascii="Times New Roman" w:hAnsi="Times New Roman" w:cs="Times New Roman"/>
                <w:sz w:val="24"/>
                <w:szCs w:val="24"/>
                <w:highlight w:val="none"/>
              </w:rPr>
              <w:t>万元</w:t>
            </w:r>
          </w:p>
        </w:tc>
        <w:tc>
          <w:tcPr>
            <w:tcW w:w="845" w:type="dxa"/>
            <w:vAlign w:val="center"/>
          </w:tcPr>
          <w:p w14:paraId="3774F182">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比例</w:t>
            </w:r>
          </w:p>
        </w:tc>
        <w:tc>
          <w:tcPr>
            <w:tcW w:w="1324" w:type="dxa"/>
            <w:vAlign w:val="center"/>
          </w:tcPr>
          <w:p w14:paraId="23D23CCB">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1.2</w:t>
            </w:r>
            <w:r>
              <w:rPr>
                <w:rFonts w:ascii="Times New Roman" w:hAnsi="Times New Roman" w:cs="Times New Roman"/>
                <w:sz w:val="24"/>
                <w:szCs w:val="24"/>
                <w:highlight w:val="none"/>
              </w:rPr>
              <w:t>%</w:t>
            </w:r>
          </w:p>
        </w:tc>
      </w:tr>
      <w:tr w14:paraId="5521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56DF1B6D">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实际总概算</w:t>
            </w:r>
          </w:p>
        </w:tc>
        <w:tc>
          <w:tcPr>
            <w:tcW w:w="2583" w:type="dxa"/>
            <w:vAlign w:val="center"/>
          </w:tcPr>
          <w:p w14:paraId="5377D32D">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2000</w:t>
            </w:r>
            <w:r>
              <w:rPr>
                <w:rFonts w:ascii="Times New Roman" w:hAnsi="Times New Roman" w:cs="Times New Roman"/>
                <w:sz w:val="24"/>
                <w:szCs w:val="24"/>
                <w:highlight w:val="none"/>
              </w:rPr>
              <w:t>万元</w:t>
            </w:r>
          </w:p>
        </w:tc>
        <w:tc>
          <w:tcPr>
            <w:tcW w:w="1214" w:type="dxa"/>
            <w:vAlign w:val="center"/>
          </w:tcPr>
          <w:p w14:paraId="06CD44F4">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环保投资</w:t>
            </w:r>
          </w:p>
        </w:tc>
        <w:tc>
          <w:tcPr>
            <w:tcW w:w="1121" w:type="dxa"/>
            <w:vAlign w:val="center"/>
          </w:tcPr>
          <w:p w14:paraId="36FDC97C">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31</w:t>
            </w:r>
            <w:r>
              <w:rPr>
                <w:rFonts w:ascii="Times New Roman" w:hAnsi="Times New Roman" w:cs="Times New Roman"/>
                <w:sz w:val="24"/>
                <w:szCs w:val="24"/>
                <w:highlight w:val="none"/>
              </w:rPr>
              <w:t>万元</w:t>
            </w:r>
          </w:p>
        </w:tc>
        <w:tc>
          <w:tcPr>
            <w:tcW w:w="845" w:type="dxa"/>
            <w:vAlign w:val="center"/>
          </w:tcPr>
          <w:p w14:paraId="3F338774">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比例</w:t>
            </w:r>
          </w:p>
        </w:tc>
        <w:tc>
          <w:tcPr>
            <w:tcW w:w="1324" w:type="dxa"/>
            <w:vAlign w:val="center"/>
          </w:tcPr>
          <w:p w14:paraId="52C5FC88">
            <w:pPr>
              <w:jc w:val="center"/>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1.55</w:t>
            </w:r>
            <w:r>
              <w:rPr>
                <w:rFonts w:ascii="Times New Roman" w:hAnsi="Times New Roman" w:cs="Times New Roman"/>
                <w:sz w:val="24"/>
                <w:szCs w:val="24"/>
                <w:highlight w:val="none"/>
              </w:rPr>
              <w:t>%</w:t>
            </w:r>
          </w:p>
        </w:tc>
      </w:tr>
      <w:tr w14:paraId="7A9A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41D89A59">
            <w:pPr>
              <w:spacing w:line="360" w:lineRule="auto"/>
              <w:rPr>
                <w:rFonts w:ascii="Times New Roman" w:hAnsi="Times New Roman" w:cs="Times New Roman"/>
                <w:sz w:val="24"/>
                <w:szCs w:val="24"/>
                <w:highlight w:val="none"/>
              </w:rPr>
            </w:pPr>
            <w:r>
              <w:rPr>
                <w:rFonts w:ascii="Times New Roman" w:hAnsi="Times New Roman" w:cs="Times New Roman"/>
                <w:sz w:val="24"/>
                <w:szCs w:val="24"/>
                <w:highlight w:val="none"/>
              </w:rPr>
              <w:t>验收监测依据</w:t>
            </w:r>
          </w:p>
        </w:tc>
        <w:tc>
          <w:tcPr>
            <w:tcW w:w="7087" w:type="dxa"/>
            <w:gridSpan w:val="5"/>
          </w:tcPr>
          <w:p w14:paraId="2CD2EA73">
            <w:pPr>
              <w:spacing w:line="360" w:lineRule="auto"/>
              <w:ind w:right="-34" w:rightChars="-16"/>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一、</w:t>
            </w:r>
            <w:r>
              <w:rPr>
                <w:rFonts w:hint="eastAsia" w:ascii="Times New Roman" w:hAnsi="Times New Roman" w:eastAsia="宋体" w:cs="Times New Roman"/>
                <w:sz w:val="24"/>
                <w:szCs w:val="24"/>
                <w:highlight w:val="none"/>
              </w:rPr>
              <w:t>建设项目环境保护相关法律、法规和规章制度</w:t>
            </w:r>
          </w:p>
          <w:p w14:paraId="61699117">
            <w:pPr>
              <w:spacing w:line="360" w:lineRule="auto"/>
              <w:ind w:right="-34" w:rightChars="-16"/>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1．《中华人民共和国大气污染防治法》（中华人民共和国主席令[2015]第31号）（2018年修正）；</w:t>
            </w:r>
          </w:p>
          <w:p w14:paraId="4B21C543">
            <w:pPr>
              <w:spacing w:line="360" w:lineRule="auto"/>
              <w:ind w:right="-34" w:rightChars="-16"/>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2.《中华人民共和国水污染防治法》（中华人民共和国主席令[2017]第70号）；</w:t>
            </w:r>
          </w:p>
          <w:p w14:paraId="64DD32EE">
            <w:pPr>
              <w:spacing w:line="360" w:lineRule="auto"/>
              <w:ind w:right="-34" w:rightChars="-16"/>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3.《中华人民共和国固体废物污染环境防治法》（中华人民共和国主席令[2020]第43号）（2020年修正）；</w:t>
            </w:r>
          </w:p>
          <w:p w14:paraId="6D5FEA55">
            <w:pPr>
              <w:spacing w:line="360" w:lineRule="auto"/>
              <w:jc w:val="left"/>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4.《中华人民共和国噪声污染防治法》（中华人民共和国主席令[</w:t>
            </w:r>
            <w:r>
              <w:rPr>
                <w:rFonts w:hint="eastAsia" w:ascii="Times New Roman" w:hAnsi="Times New Roman" w:eastAsia="宋体" w:cs="Times New Roman"/>
                <w:sz w:val="24"/>
                <w:szCs w:val="24"/>
                <w:highlight w:val="none"/>
              </w:rPr>
              <w:t>2022</w:t>
            </w:r>
            <w:r>
              <w:rPr>
                <w:rFonts w:ascii="Times New Roman" w:hAnsi="Times New Roman" w:eastAsia="宋体" w:cs="Times New Roman"/>
                <w:sz w:val="24"/>
                <w:szCs w:val="24"/>
                <w:highlight w:val="none"/>
              </w:rPr>
              <w:t>]第</w:t>
            </w:r>
            <w:r>
              <w:rPr>
                <w:rFonts w:hint="eastAsia" w:ascii="Times New Roman" w:hAnsi="Times New Roman" w:eastAsia="宋体" w:cs="Times New Roman"/>
                <w:sz w:val="24"/>
                <w:szCs w:val="24"/>
                <w:highlight w:val="none"/>
              </w:rPr>
              <w:t>104</w:t>
            </w:r>
            <w:r>
              <w:rPr>
                <w:rFonts w:ascii="Times New Roman" w:hAnsi="Times New Roman" w:eastAsia="宋体" w:cs="Times New Roman"/>
                <w:sz w:val="24"/>
                <w:szCs w:val="24"/>
                <w:highlight w:val="none"/>
              </w:rPr>
              <w:t>号）；</w:t>
            </w:r>
          </w:p>
          <w:p w14:paraId="59252847">
            <w:pPr>
              <w:spacing w:line="360" w:lineRule="auto"/>
              <w:jc w:val="left"/>
              <w:rPr>
                <w:rFonts w:ascii="Times New Roman" w:hAnsi="Times New Roman" w:cs="Times New Roman"/>
                <w:sz w:val="24"/>
                <w:szCs w:val="24"/>
                <w:highlight w:val="none"/>
              </w:rPr>
            </w:pPr>
            <w:r>
              <w:rPr>
                <w:rFonts w:hint="eastAsia" w:ascii="Times New Roman" w:hAnsi="Times New Roman" w:eastAsia="宋体" w:cs="Times New Roman"/>
                <w:sz w:val="24"/>
                <w:szCs w:val="24"/>
                <w:highlight w:val="none"/>
              </w:rPr>
              <w:t>5.中华人民共和国第</w:t>
            </w:r>
            <w:r>
              <w:rPr>
                <w:rFonts w:ascii="Times New Roman" w:hAnsi="Times New Roman" w:eastAsia="宋体" w:cs="Times New Roman"/>
                <w:sz w:val="24"/>
                <w:szCs w:val="24"/>
                <w:highlight w:val="none"/>
              </w:rPr>
              <w:t>682</w:t>
            </w:r>
            <w:r>
              <w:rPr>
                <w:rFonts w:hint="eastAsia" w:ascii="Times New Roman" w:hAnsi="Times New Roman" w:eastAsia="宋体" w:cs="Times New Roman"/>
                <w:sz w:val="24"/>
                <w:szCs w:val="24"/>
                <w:highlight w:val="none"/>
              </w:rPr>
              <w:t>号令《建设项目环境保护管理条例》（</w:t>
            </w:r>
            <w:r>
              <w:rPr>
                <w:rFonts w:ascii="Times New Roman" w:hAnsi="Times New Roman" w:eastAsia="宋体" w:cs="Times New Roman"/>
                <w:sz w:val="24"/>
                <w:szCs w:val="24"/>
                <w:highlight w:val="none"/>
              </w:rPr>
              <w:t>2017</w:t>
            </w:r>
            <w:r>
              <w:rPr>
                <w:rFonts w:hint="eastAsia" w:ascii="Times New Roman" w:hAnsi="Times New Roman" w:eastAsia="宋体" w:cs="Times New Roman"/>
                <w:sz w:val="24"/>
                <w:szCs w:val="24"/>
                <w:highlight w:val="none"/>
              </w:rPr>
              <w:t>年修正），</w:t>
            </w:r>
            <w:r>
              <w:rPr>
                <w:rFonts w:ascii="Times New Roman" w:hAnsi="Times New Roman" w:eastAsia="宋体" w:cs="Times New Roman"/>
                <w:sz w:val="24"/>
                <w:szCs w:val="24"/>
                <w:highlight w:val="none"/>
              </w:rPr>
              <w:t>2017</w:t>
            </w:r>
            <w:r>
              <w:rPr>
                <w:rFonts w:hint="eastAsia" w:ascii="Times New Roman" w:hAnsi="Times New Roman" w:eastAsia="宋体" w:cs="Times New Roman"/>
                <w:sz w:val="24"/>
                <w:szCs w:val="24"/>
                <w:highlight w:val="none"/>
              </w:rPr>
              <w:t>年</w:t>
            </w:r>
            <w:r>
              <w:rPr>
                <w:rFonts w:ascii="Times New Roman" w:hAnsi="Times New Roman" w:eastAsia="宋体" w:cs="Times New Roman"/>
                <w:sz w:val="24"/>
                <w:szCs w:val="24"/>
                <w:highlight w:val="none"/>
              </w:rPr>
              <w:t>10</w:t>
            </w:r>
            <w:r>
              <w:rPr>
                <w:rFonts w:hint="eastAsia" w:ascii="Times New Roman" w:hAnsi="Times New Roman" w:eastAsia="宋体" w:cs="Times New Roman"/>
                <w:sz w:val="24"/>
                <w:szCs w:val="24"/>
                <w:highlight w:val="none"/>
              </w:rPr>
              <w:t>月</w:t>
            </w:r>
            <w:r>
              <w:rPr>
                <w:rFonts w:ascii="Times New Roman" w:hAnsi="Times New Roman" w:eastAsia="宋体" w:cs="Times New Roman"/>
                <w:sz w:val="24"/>
                <w:szCs w:val="24"/>
                <w:highlight w:val="none"/>
              </w:rPr>
              <w:t>1</w:t>
            </w:r>
            <w:r>
              <w:rPr>
                <w:rFonts w:hint="eastAsia" w:ascii="Times New Roman" w:hAnsi="Times New Roman" w:eastAsia="宋体" w:cs="Times New Roman"/>
                <w:sz w:val="24"/>
                <w:szCs w:val="24"/>
                <w:highlight w:val="none"/>
              </w:rPr>
              <w:t>日施行；</w:t>
            </w:r>
          </w:p>
          <w:p w14:paraId="3394AB3E">
            <w:pPr>
              <w:spacing w:line="360" w:lineRule="auto"/>
              <w:jc w:val="left"/>
              <w:rPr>
                <w:rFonts w:ascii="Times New Roman" w:hAnsi="Times New Roman" w:cs="Times New Roman"/>
                <w:sz w:val="24"/>
                <w:szCs w:val="24"/>
                <w:highlight w:val="none"/>
              </w:rPr>
            </w:pPr>
            <w:r>
              <w:rPr>
                <w:rFonts w:hint="eastAsia" w:ascii="Times New Roman" w:hAnsi="Times New Roman" w:eastAsia="宋体" w:cs="Times New Roman"/>
                <w:sz w:val="24"/>
                <w:szCs w:val="24"/>
                <w:highlight w:val="none"/>
              </w:rPr>
              <w:t>6．国环规环评</w:t>
            </w:r>
            <w:r>
              <w:rPr>
                <w:rFonts w:ascii="Times New Roman" w:hAnsi="Times New Roman" w:eastAsia="宋体" w:cs="Times New Roman"/>
                <w:sz w:val="24"/>
                <w:szCs w:val="24"/>
                <w:highlight w:val="none"/>
              </w:rPr>
              <w:t>[2017]4</w:t>
            </w:r>
            <w:r>
              <w:rPr>
                <w:rFonts w:hint="eastAsia" w:ascii="Times New Roman" w:hAnsi="Times New Roman" w:eastAsia="宋体" w:cs="Times New Roman"/>
                <w:sz w:val="24"/>
                <w:szCs w:val="24"/>
                <w:highlight w:val="none"/>
              </w:rPr>
              <w:t>号《建设项目竣工环境保护验收暂行办法》，</w:t>
            </w:r>
            <w:r>
              <w:rPr>
                <w:rFonts w:ascii="Times New Roman" w:hAnsi="Times New Roman" w:eastAsia="宋体" w:cs="Times New Roman"/>
                <w:sz w:val="24"/>
                <w:szCs w:val="24"/>
                <w:highlight w:val="none"/>
              </w:rPr>
              <w:t>2017</w:t>
            </w:r>
            <w:r>
              <w:rPr>
                <w:rFonts w:hint="eastAsia" w:ascii="Times New Roman" w:hAnsi="Times New Roman" w:eastAsia="宋体" w:cs="Times New Roman"/>
                <w:sz w:val="24"/>
                <w:szCs w:val="24"/>
                <w:highlight w:val="none"/>
              </w:rPr>
              <w:t>年</w:t>
            </w:r>
            <w:r>
              <w:rPr>
                <w:rFonts w:ascii="Times New Roman" w:hAnsi="Times New Roman" w:eastAsia="宋体" w:cs="Times New Roman"/>
                <w:sz w:val="24"/>
                <w:szCs w:val="24"/>
                <w:highlight w:val="none"/>
              </w:rPr>
              <w:t>11</w:t>
            </w:r>
            <w:r>
              <w:rPr>
                <w:rFonts w:hint="eastAsia" w:ascii="Times New Roman" w:hAnsi="Times New Roman" w:eastAsia="宋体" w:cs="Times New Roman"/>
                <w:sz w:val="24"/>
                <w:szCs w:val="24"/>
                <w:highlight w:val="none"/>
              </w:rPr>
              <w:t>月</w:t>
            </w:r>
            <w:r>
              <w:rPr>
                <w:rFonts w:ascii="Times New Roman" w:hAnsi="Times New Roman" w:eastAsia="宋体" w:cs="Times New Roman"/>
                <w:sz w:val="24"/>
                <w:szCs w:val="24"/>
                <w:highlight w:val="none"/>
              </w:rPr>
              <w:t>2</w:t>
            </w:r>
            <w:r>
              <w:rPr>
                <w:rFonts w:hint="eastAsia" w:ascii="Times New Roman" w:hAnsi="Times New Roman" w:eastAsia="宋体" w:cs="Times New Roman"/>
                <w:sz w:val="24"/>
                <w:szCs w:val="24"/>
                <w:highlight w:val="none"/>
              </w:rPr>
              <w:t>0日施行；</w:t>
            </w:r>
          </w:p>
          <w:p w14:paraId="35B15072">
            <w:pPr>
              <w:spacing w:line="360" w:lineRule="auto"/>
              <w:jc w:val="left"/>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7．生态环境部</w:t>
            </w:r>
            <w:r>
              <w:rPr>
                <w:rFonts w:ascii="Times New Roman" w:hAnsi="Times New Roman" w:eastAsia="宋体" w:cs="Times New Roman"/>
                <w:sz w:val="24"/>
                <w:szCs w:val="24"/>
                <w:highlight w:val="none"/>
              </w:rPr>
              <w:t>2018</w:t>
            </w:r>
            <w:r>
              <w:rPr>
                <w:rFonts w:hint="eastAsia" w:ascii="Times New Roman" w:hAnsi="Times New Roman" w:eastAsia="宋体" w:cs="Times New Roman"/>
                <w:sz w:val="24"/>
                <w:szCs w:val="24"/>
                <w:highlight w:val="none"/>
              </w:rPr>
              <w:t>年第</w:t>
            </w:r>
            <w:r>
              <w:rPr>
                <w:rFonts w:ascii="Times New Roman" w:hAnsi="Times New Roman" w:eastAsia="宋体" w:cs="Times New Roman"/>
                <w:sz w:val="24"/>
                <w:szCs w:val="24"/>
                <w:highlight w:val="none"/>
              </w:rPr>
              <w:t>9</w:t>
            </w:r>
            <w:r>
              <w:rPr>
                <w:rFonts w:hint="eastAsia" w:ascii="Times New Roman" w:hAnsi="Times New Roman" w:eastAsia="宋体" w:cs="Times New Roman"/>
                <w:sz w:val="24"/>
                <w:szCs w:val="24"/>
                <w:highlight w:val="none"/>
              </w:rPr>
              <w:t>号公告《建设项目竣工环境保护验收技术指南污染影响类》</w:t>
            </w:r>
            <w:r>
              <w:rPr>
                <w:rFonts w:ascii="Times New Roman" w:hAnsi="Times New Roman" w:eastAsia="宋体" w:cs="Times New Roman"/>
                <w:sz w:val="24"/>
                <w:szCs w:val="24"/>
                <w:highlight w:val="none"/>
              </w:rPr>
              <w:t>2018.5</w:t>
            </w:r>
            <w:r>
              <w:rPr>
                <w:rFonts w:hint="eastAsia" w:ascii="Times New Roman" w:hAnsi="Times New Roman" w:eastAsia="宋体" w:cs="Times New Roman"/>
                <w:sz w:val="24"/>
                <w:szCs w:val="24"/>
                <w:highlight w:val="none"/>
              </w:rPr>
              <w:t>.15；</w:t>
            </w:r>
          </w:p>
          <w:p w14:paraId="679E4930">
            <w:pPr>
              <w:spacing w:line="360" w:lineRule="auto"/>
              <w:jc w:val="lef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二、</w:t>
            </w:r>
            <w:r>
              <w:rPr>
                <w:rFonts w:hint="eastAsia" w:ascii="Times New Roman" w:hAnsi="Times New Roman" w:eastAsia="宋体" w:cs="Times New Roman"/>
                <w:sz w:val="24"/>
                <w:szCs w:val="24"/>
                <w:highlight w:val="none"/>
              </w:rPr>
              <w:t>建设项目竣工环境保护验收技术规范、监测技术规范等</w:t>
            </w:r>
          </w:p>
          <w:p w14:paraId="61B6A3AF">
            <w:pPr>
              <w:spacing w:line="360" w:lineRule="auto"/>
              <w:jc w:val="left"/>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1</w:t>
            </w:r>
            <w:r>
              <w:rPr>
                <w:rFonts w:hint="eastAsia" w:ascii="Times New Roman" w:hAnsi="Times New Roman" w:eastAsia="宋体" w:cs="Times New Roman"/>
                <w:sz w:val="24"/>
                <w:szCs w:val="24"/>
                <w:highlight w:val="none"/>
              </w:rPr>
              <w:t>.</w:t>
            </w:r>
            <w:r>
              <w:rPr>
                <w:rFonts w:ascii="Times New Roman" w:hAnsi="Times New Roman" w:eastAsia="宋体" w:cs="Times New Roman"/>
                <w:sz w:val="24"/>
                <w:szCs w:val="24"/>
                <w:highlight w:val="none"/>
              </w:rPr>
              <w:t>津环保监测[2007]57号《关于发布〈天津市污染源排放口规范化技术要求〉的通知》；</w:t>
            </w:r>
          </w:p>
          <w:p w14:paraId="522B189C">
            <w:pPr>
              <w:spacing w:line="360" w:lineRule="auto"/>
              <w:jc w:val="left"/>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2</w:t>
            </w:r>
            <w:r>
              <w:rPr>
                <w:rFonts w:hint="eastAsia" w:ascii="Times New Roman" w:hAnsi="Times New Roman" w:eastAsia="宋体" w:cs="Times New Roman"/>
                <w:sz w:val="24"/>
                <w:szCs w:val="24"/>
                <w:highlight w:val="none"/>
              </w:rPr>
              <w:t>.</w:t>
            </w:r>
            <w:r>
              <w:rPr>
                <w:rFonts w:ascii="Times New Roman" w:hAnsi="Times New Roman" w:eastAsia="宋体" w:cs="Times New Roman"/>
                <w:sz w:val="24"/>
                <w:szCs w:val="24"/>
                <w:highlight w:val="none"/>
              </w:rPr>
              <w:t>《排污单位自行监测技术指南 总则》（HJ819-2017）；</w:t>
            </w:r>
          </w:p>
          <w:p w14:paraId="735371CF">
            <w:pPr>
              <w:spacing w:line="360" w:lineRule="auto"/>
              <w:rPr>
                <w:rFonts w:hint="eastAsia"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3</w:t>
            </w:r>
            <w:r>
              <w:rPr>
                <w:rFonts w:hint="eastAsia" w:ascii="Times New Roman" w:hAnsi="Times New Roman" w:cs="Times New Roman"/>
                <w:sz w:val="24"/>
                <w:szCs w:val="24"/>
                <w:highlight w:val="none"/>
              </w:rPr>
              <w:t>.《排污许可证申请与核发技术规范</w:t>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涂料油墨制造》( HJ1087-2020 )，2020.4.1实施；</w:t>
            </w:r>
          </w:p>
          <w:p w14:paraId="65DD02B0">
            <w:pPr>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4.</w:t>
            </w:r>
            <w:r>
              <w:rPr>
                <w:rFonts w:hint="eastAsia" w:ascii="Times New Roman" w:hAnsi="Times New Roman" w:eastAsia="宋体" w:cs="Times New Roman"/>
                <w:sz w:val="24"/>
                <w:szCs w:val="24"/>
                <w:highlight w:val="none"/>
              </w:rPr>
              <w:t>《污染影响类建设项目重大变动清单（试行）》（环办环评函〔</w:t>
            </w:r>
            <w:r>
              <w:rPr>
                <w:rFonts w:ascii="Times New Roman" w:hAnsi="Times New Roman" w:eastAsia="宋体" w:cs="Times New Roman"/>
                <w:sz w:val="24"/>
                <w:szCs w:val="24"/>
                <w:highlight w:val="none"/>
              </w:rPr>
              <w:t>2020</w:t>
            </w:r>
            <w:r>
              <w:rPr>
                <w:rFonts w:hint="eastAsia" w:ascii="Times New Roman" w:hAnsi="Times New Roman" w:eastAsia="宋体" w:cs="Times New Roman"/>
                <w:sz w:val="24"/>
                <w:szCs w:val="24"/>
                <w:highlight w:val="none"/>
              </w:rPr>
              <w:t>〕</w:t>
            </w:r>
            <w:r>
              <w:rPr>
                <w:rFonts w:ascii="Times New Roman" w:hAnsi="Times New Roman" w:eastAsia="宋体" w:cs="Times New Roman"/>
                <w:sz w:val="24"/>
                <w:szCs w:val="24"/>
                <w:highlight w:val="none"/>
              </w:rPr>
              <w:t>688</w:t>
            </w:r>
            <w:r>
              <w:rPr>
                <w:rFonts w:hint="eastAsia" w:ascii="Times New Roman" w:hAnsi="Times New Roman" w:eastAsia="宋体" w:cs="Times New Roman"/>
                <w:sz w:val="24"/>
                <w:szCs w:val="24"/>
                <w:highlight w:val="none"/>
              </w:rPr>
              <w:t>号）2020.12.13；</w:t>
            </w:r>
          </w:p>
          <w:p w14:paraId="454320DE">
            <w:pPr>
              <w:spacing w:line="360" w:lineRule="auto"/>
              <w:jc w:val="left"/>
              <w:rPr>
                <w:rFonts w:hint="eastAsia" w:ascii="Times New Roman" w:hAnsi="Times New Roman" w:cs="Times New Roman" w:eastAsiaTheme="minorEastAsia"/>
                <w:sz w:val="24"/>
                <w:szCs w:val="24"/>
                <w:highlight w:val="none"/>
                <w:lang w:val="en-US" w:eastAsia="zh-CN"/>
              </w:rPr>
            </w:pPr>
            <w:r>
              <w:rPr>
                <w:rFonts w:hint="eastAsia" w:ascii="Times New Roman" w:hAnsi="Times New Roman" w:eastAsia="宋体" w:cs="Times New Roman"/>
                <w:sz w:val="24"/>
                <w:szCs w:val="24"/>
                <w:highlight w:val="none"/>
                <w:lang w:val="en-US" w:eastAsia="zh-CN"/>
              </w:rPr>
              <w:t>三、建设项目环境影响报告书（表）及其审批部门审批决定及主要污染物总量审批文件</w:t>
            </w:r>
          </w:p>
          <w:p w14:paraId="4EBBE78D">
            <w:pPr>
              <w:spacing w:line="360" w:lineRule="auto"/>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w:t>
            </w:r>
            <w:r>
              <w:rPr>
                <w:rFonts w:hint="eastAsia"/>
                <w:sz w:val="24"/>
                <w:highlight w:val="none"/>
                <w:lang w:eastAsia="zh-CN"/>
              </w:rPr>
              <w:t>诺和诺德（中国）制药有限公司</w:t>
            </w:r>
            <w:r>
              <w:rPr>
                <w:rFonts w:hint="eastAsia" w:ascii="Times New Roman" w:hAnsi="Times New Roman" w:cs="Times New Roman"/>
                <w:sz w:val="24"/>
                <w:szCs w:val="24"/>
                <w:highlight w:val="none"/>
                <w:lang w:eastAsia="zh-CN"/>
              </w:rPr>
              <w:t>无菌生产厂项目W2-仓库2</w:t>
            </w:r>
            <w:r>
              <w:rPr>
                <w:rFonts w:ascii="Times New Roman" w:hAnsi="Times New Roman" w:cs="Times New Roman"/>
                <w:bCs/>
                <w:sz w:val="24"/>
                <w:szCs w:val="24"/>
                <w:highlight w:val="none"/>
              </w:rPr>
              <w:t>环境影响报告表</w:t>
            </w:r>
            <w:r>
              <w:rPr>
                <w:rFonts w:ascii="Times New Roman" w:hAnsi="Times New Roman" w:cs="Times New Roman"/>
                <w:sz w:val="24"/>
                <w:szCs w:val="24"/>
                <w:highlight w:val="none"/>
              </w:rPr>
              <w:t>》；</w:t>
            </w:r>
          </w:p>
          <w:p w14:paraId="610FFF94">
            <w:pPr>
              <w:spacing w:line="360" w:lineRule="auto"/>
              <w:jc w:val="left"/>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2</w:t>
            </w:r>
            <w:r>
              <w:rPr>
                <w:rFonts w:ascii="Times New Roman" w:hAnsi="Times New Roman" w:cs="Times New Roman"/>
                <w:sz w:val="24"/>
                <w:szCs w:val="24"/>
                <w:highlight w:val="none"/>
              </w:rPr>
              <w:t>．《天津经济技术开发区生态环境局关于</w:t>
            </w:r>
            <w:r>
              <w:rPr>
                <w:rFonts w:hint="eastAsia" w:ascii="Times New Roman" w:hAnsi="Times New Roman" w:cs="Times New Roman"/>
                <w:sz w:val="24"/>
                <w:szCs w:val="24"/>
                <w:highlight w:val="none"/>
                <w:lang w:eastAsia="zh-CN"/>
              </w:rPr>
              <w:t>诺和诺德（中国）制药有限公司无菌生产厂项目W2-仓库2</w:t>
            </w:r>
            <w:r>
              <w:rPr>
                <w:rFonts w:ascii="Times New Roman" w:hAnsi="Times New Roman" w:cs="Times New Roman"/>
                <w:bCs/>
                <w:sz w:val="24"/>
                <w:szCs w:val="24"/>
                <w:highlight w:val="none"/>
              </w:rPr>
              <w:t>环境影响报告表</w:t>
            </w:r>
            <w:r>
              <w:rPr>
                <w:rFonts w:ascii="Times New Roman" w:hAnsi="Times New Roman" w:cs="Times New Roman"/>
                <w:sz w:val="24"/>
                <w:szCs w:val="24"/>
                <w:highlight w:val="none"/>
              </w:rPr>
              <w:t>的批复》（</w:t>
            </w:r>
            <w:r>
              <w:rPr>
                <w:rFonts w:hint="eastAsia" w:ascii="Times New Roman" w:hAnsi="Times New Roman" w:cs="Times New Roman"/>
                <w:sz w:val="24"/>
                <w:szCs w:val="24"/>
                <w:highlight w:val="none"/>
              </w:rPr>
              <w:t>津</w:t>
            </w:r>
            <w:r>
              <w:rPr>
                <w:rFonts w:ascii="Times New Roman" w:hAnsi="Times New Roman" w:cs="Times New Roman"/>
                <w:sz w:val="24"/>
                <w:szCs w:val="24"/>
                <w:highlight w:val="none"/>
              </w:rPr>
              <w:t>开环评</w:t>
            </w:r>
            <w:r>
              <w:rPr>
                <w:rFonts w:hint="eastAsia" w:ascii="Times New Roman" w:hAnsi="Times New Roman" w:cs="Times New Roman"/>
                <w:sz w:val="24"/>
                <w:szCs w:val="24"/>
                <w:highlight w:val="none"/>
              </w:rPr>
              <w:t>[202</w:t>
            </w:r>
            <w:r>
              <w:rPr>
                <w:rFonts w:hint="eastAsia" w:ascii="Times New Roman" w:hAnsi="Times New Roman" w:cs="Times New Roman"/>
                <w:sz w:val="24"/>
                <w:szCs w:val="24"/>
                <w:highlight w:val="none"/>
                <w:lang w:val="en-US" w:eastAsia="zh-CN"/>
              </w:rPr>
              <w:t>5</w:t>
            </w:r>
            <w:r>
              <w:rPr>
                <w:rFonts w:hint="eastAsia"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24</w:t>
            </w:r>
            <w:r>
              <w:rPr>
                <w:rFonts w:ascii="Times New Roman" w:hAnsi="Times New Roman" w:cs="Times New Roman"/>
                <w:sz w:val="24"/>
                <w:szCs w:val="24"/>
                <w:highlight w:val="none"/>
              </w:rPr>
              <w:t>号）；</w:t>
            </w:r>
          </w:p>
          <w:p w14:paraId="7CCDA249">
            <w:pPr>
              <w:spacing w:line="360" w:lineRule="auto"/>
              <w:jc w:val="left"/>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四、其他相关文件</w:t>
            </w:r>
          </w:p>
          <w:p w14:paraId="56256CAB">
            <w:pPr>
              <w:spacing w:line="360" w:lineRule="auto"/>
              <w:jc w:val="left"/>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eastAsia="zh-CN"/>
              </w:rPr>
              <w:t>无菌生产厂项目W2-仓库2</w:t>
            </w:r>
            <w:r>
              <w:rPr>
                <w:rFonts w:ascii="Times New Roman" w:hAnsi="Times New Roman" w:cs="Times New Roman"/>
                <w:sz w:val="24"/>
                <w:szCs w:val="24"/>
                <w:highlight w:val="none"/>
              </w:rPr>
              <w:t>有关的基础资料。</w:t>
            </w:r>
          </w:p>
        </w:tc>
      </w:tr>
      <w:tr w14:paraId="13DA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3" w:hRule="atLeast"/>
        </w:trPr>
        <w:tc>
          <w:tcPr>
            <w:tcW w:w="1668" w:type="dxa"/>
          </w:tcPr>
          <w:tbl>
            <w:tblPr>
              <w:tblStyle w:val="19"/>
              <w:tblW w:w="1451" w:type="dxa"/>
              <w:tblInd w:w="0" w:type="dxa"/>
              <w:tblLayout w:type="fixed"/>
              <w:tblCellMar>
                <w:top w:w="0" w:type="dxa"/>
                <w:left w:w="108" w:type="dxa"/>
                <w:bottom w:w="0" w:type="dxa"/>
                <w:right w:w="108" w:type="dxa"/>
              </w:tblCellMar>
            </w:tblPr>
            <w:tblGrid>
              <w:gridCol w:w="1451"/>
            </w:tblGrid>
            <w:tr w14:paraId="33D56734">
              <w:tblPrEx>
                <w:tblCellMar>
                  <w:top w:w="0" w:type="dxa"/>
                  <w:left w:w="108" w:type="dxa"/>
                  <w:bottom w:w="0" w:type="dxa"/>
                  <w:right w:w="108" w:type="dxa"/>
                </w:tblCellMar>
              </w:tblPrEx>
              <w:trPr>
                <w:trHeight w:val="241" w:hRule="atLeast"/>
              </w:trPr>
              <w:tc>
                <w:tcPr>
                  <w:tcW w:w="1451" w:type="dxa"/>
                  <w:vAlign w:val="center"/>
                </w:tcPr>
                <w:p w14:paraId="08FEF896">
                  <w:pPr>
                    <w:spacing w:line="360" w:lineRule="auto"/>
                    <w:jc w:val="center"/>
                    <w:rPr>
                      <w:rFonts w:ascii="Times New Roman" w:hAnsi="Times New Roman" w:cs="Times New Roman"/>
                      <w:sz w:val="24"/>
                      <w:szCs w:val="24"/>
                      <w:highlight w:val="yellow"/>
                    </w:rPr>
                  </w:pPr>
                  <w:r>
                    <w:rPr>
                      <w:rFonts w:ascii="Times New Roman" w:hAnsi="Times New Roman" w:cs="Times New Roman"/>
                      <w:sz w:val="24"/>
                      <w:szCs w:val="24"/>
                      <w:highlight w:val="none"/>
                    </w:rPr>
                    <w:t>验收监测评价标准、标号、级别、限值</w:t>
                  </w:r>
                </w:p>
              </w:tc>
            </w:tr>
          </w:tbl>
          <w:p w14:paraId="423C620B">
            <w:pPr>
              <w:spacing w:line="360" w:lineRule="auto"/>
              <w:jc w:val="left"/>
              <w:rPr>
                <w:rFonts w:ascii="Times New Roman" w:hAnsi="Times New Roman" w:cs="Times New Roman"/>
                <w:sz w:val="24"/>
                <w:szCs w:val="24"/>
                <w:highlight w:val="yellow"/>
              </w:rPr>
            </w:pPr>
          </w:p>
        </w:tc>
        <w:tc>
          <w:tcPr>
            <w:tcW w:w="7087" w:type="dxa"/>
            <w:gridSpan w:val="5"/>
          </w:tcPr>
          <w:p w14:paraId="02B37822">
            <w:pPr>
              <w:numPr>
                <w:ilvl w:val="0"/>
                <w:numId w:val="0"/>
              </w:numPr>
              <w:spacing w:line="360" w:lineRule="auto"/>
              <w:ind w:leftChars="0"/>
              <w:jc w:val="left"/>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w:t>
            </w:r>
            <w:r>
              <w:rPr>
                <w:rFonts w:ascii="Times New Roman" w:hAnsi="Times New Roman" w:cs="Times New Roman"/>
                <w:sz w:val="24"/>
                <w:szCs w:val="24"/>
                <w:highlight w:val="none"/>
              </w:rPr>
              <w:t>噪声执行标准</w:t>
            </w:r>
          </w:p>
          <w:p w14:paraId="0B49DE53">
            <w:pPr>
              <w:spacing w:line="360" w:lineRule="auto"/>
              <w:jc w:val="center"/>
              <w:rPr>
                <w:rFonts w:ascii="Times New Roman" w:hAnsi="Times New Roman" w:cs="Times New Roman"/>
                <w:sz w:val="24"/>
                <w:szCs w:val="24"/>
                <w:highlight w:val="none"/>
              </w:rPr>
            </w:pPr>
            <w:r>
              <w:rPr>
                <w:rFonts w:ascii="Times New Roman" w:hAnsi="Times New Roman" w:cs="Times New Roman"/>
                <w:sz w:val="24"/>
                <w:szCs w:val="24"/>
                <w:highlight w:val="none"/>
              </w:rPr>
              <w:t>表1-</w:t>
            </w:r>
            <w:r>
              <w:rPr>
                <w:rFonts w:hint="eastAsia" w:ascii="Times New Roman" w:hAnsi="Times New Roman" w:cs="Times New Roman"/>
                <w:sz w:val="24"/>
                <w:szCs w:val="24"/>
                <w:highlight w:val="none"/>
                <w:lang w:val="en-US" w:eastAsia="zh-CN"/>
              </w:rPr>
              <w:t>1</w:t>
            </w:r>
            <w:r>
              <w:rPr>
                <w:rFonts w:ascii="Times New Roman" w:hAnsi="Times New Roman" w:cs="Times New Roman"/>
                <w:sz w:val="24"/>
                <w:szCs w:val="24"/>
                <w:highlight w:val="none"/>
              </w:rPr>
              <w:t xml:space="preserve">  噪声排放标准单位：dB(A)</w:t>
            </w:r>
          </w:p>
          <w:tbl>
            <w:tblPr>
              <w:tblStyle w:val="20"/>
              <w:tblW w:w="6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2060"/>
              <w:gridCol w:w="715"/>
              <w:gridCol w:w="854"/>
              <w:gridCol w:w="877"/>
              <w:gridCol w:w="1350"/>
            </w:tblGrid>
            <w:tr w14:paraId="3BC2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015" w:type="dxa"/>
                  <w:vMerge w:val="restart"/>
                  <w:vAlign w:val="center"/>
                </w:tcPr>
                <w:p w14:paraId="0B56A76C">
                  <w:pPr>
                    <w:spacing w:line="240" w:lineRule="atLeast"/>
                    <w:jc w:val="center"/>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监测点位</w:t>
                  </w:r>
                </w:p>
              </w:tc>
              <w:tc>
                <w:tcPr>
                  <w:tcW w:w="2060" w:type="dxa"/>
                  <w:vMerge w:val="restart"/>
                  <w:vAlign w:val="center"/>
                </w:tcPr>
                <w:p w14:paraId="71E041AC">
                  <w:pPr>
                    <w:spacing w:line="240" w:lineRule="atLeast"/>
                    <w:jc w:val="center"/>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执行标准</w:t>
                  </w:r>
                </w:p>
              </w:tc>
              <w:tc>
                <w:tcPr>
                  <w:tcW w:w="715" w:type="dxa"/>
                  <w:vMerge w:val="restart"/>
                  <w:vAlign w:val="center"/>
                </w:tcPr>
                <w:p w14:paraId="47FAC07A">
                  <w:pPr>
                    <w:spacing w:line="240" w:lineRule="atLeast"/>
                    <w:jc w:val="center"/>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标准类别</w:t>
                  </w:r>
                </w:p>
              </w:tc>
              <w:tc>
                <w:tcPr>
                  <w:tcW w:w="1731" w:type="dxa"/>
                  <w:gridSpan w:val="2"/>
                  <w:vAlign w:val="center"/>
                </w:tcPr>
                <w:p w14:paraId="66BEA8AD">
                  <w:pPr>
                    <w:spacing w:line="240" w:lineRule="atLeast"/>
                    <w:jc w:val="center"/>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时段限值</w:t>
                  </w:r>
                </w:p>
              </w:tc>
              <w:tc>
                <w:tcPr>
                  <w:tcW w:w="1350" w:type="dxa"/>
                  <w:vMerge w:val="restart"/>
                  <w:vAlign w:val="center"/>
                </w:tcPr>
                <w:p w14:paraId="760C3505">
                  <w:pPr>
                    <w:spacing w:line="240" w:lineRule="atLeast"/>
                    <w:jc w:val="center"/>
                    <w:rPr>
                      <w:rFonts w:ascii="Times New Roman" w:hAnsi="Times New Roman" w:cs="Times New Roman"/>
                      <w:highlight w:val="none"/>
                      <w:lang w:val="en-GB"/>
                    </w:rPr>
                  </w:pPr>
                  <w:r>
                    <w:rPr>
                      <w:rFonts w:hint="eastAsia" w:ascii="Times New Roman" w:hAnsi="Times New Roman" w:cs="Times New Roman"/>
                      <w:highlight w:val="none"/>
                      <w:lang w:val="en-US" w:eastAsia="zh-CN"/>
                    </w:rPr>
                    <w:t>与环评阶段变化情况</w:t>
                  </w:r>
                </w:p>
              </w:tc>
            </w:tr>
            <w:tr w14:paraId="1769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015" w:type="dxa"/>
                  <w:vMerge w:val="continue"/>
                </w:tcPr>
                <w:p w14:paraId="5AEFDF44">
                  <w:pPr>
                    <w:spacing w:line="240" w:lineRule="atLeast"/>
                    <w:jc w:val="center"/>
                    <w:rPr>
                      <w:rFonts w:hint="eastAsia" w:ascii="Times New Roman" w:hAnsi="Times New Roman" w:cs="Times New Roman"/>
                      <w:highlight w:val="none"/>
                      <w:lang w:val="en-US" w:eastAsia="zh-CN"/>
                    </w:rPr>
                  </w:pPr>
                </w:p>
              </w:tc>
              <w:tc>
                <w:tcPr>
                  <w:tcW w:w="2060" w:type="dxa"/>
                  <w:vMerge w:val="continue"/>
                </w:tcPr>
                <w:p w14:paraId="7424419F">
                  <w:pPr>
                    <w:spacing w:line="240" w:lineRule="atLeast"/>
                    <w:jc w:val="center"/>
                    <w:rPr>
                      <w:rFonts w:hint="eastAsia" w:ascii="Times New Roman" w:hAnsi="Times New Roman" w:cs="Times New Roman"/>
                      <w:highlight w:val="none"/>
                      <w:lang w:val="en-US" w:eastAsia="zh-CN"/>
                    </w:rPr>
                  </w:pPr>
                </w:p>
              </w:tc>
              <w:tc>
                <w:tcPr>
                  <w:tcW w:w="715" w:type="dxa"/>
                  <w:vMerge w:val="continue"/>
                </w:tcPr>
                <w:p w14:paraId="0A6B967E">
                  <w:pPr>
                    <w:spacing w:line="240" w:lineRule="atLeast"/>
                    <w:jc w:val="center"/>
                    <w:rPr>
                      <w:rFonts w:hint="eastAsia" w:ascii="Times New Roman" w:hAnsi="Times New Roman" w:cs="Times New Roman"/>
                      <w:highlight w:val="none"/>
                      <w:lang w:val="en-US" w:eastAsia="zh-CN"/>
                    </w:rPr>
                  </w:pPr>
                </w:p>
              </w:tc>
              <w:tc>
                <w:tcPr>
                  <w:tcW w:w="854" w:type="dxa"/>
                </w:tcPr>
                <w:p w14:paraId="7BDED7FA">
                  <w:pPr>
                    <w:spacing w:line="240" w:lineRule="atLeast"/>
                    <w:jc w:val="center"/>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昼间</w:t>
                  </w:r>
                </w:p>
              </w:tc>
              <w:tc>
                <w:tcPr>
                  <w:tcW w:w="877" w:type="dxa"/>
                </w:tcPr>
                <w:p w14:paraId="327C5BFF">
                  <w:pPr>
                    <w:spacing w:line="240" w:lineRule="atLeast"/>
                    <w:jc w:val="center"/>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夜间</w:t>
                  </w:r>
                </w:p>
              </w:tc>
              <w:tc>
                <w:tcPr>
                  <w:tcW w:w="1350" w:type="dxa"/>
                  <w:vMerge w:val="continue"/>
                </w:tcPr>
                <w:p w14:paraId="425B62EA">
                  <w:pPr>
                    <w:spacing w:line="240" w:lineRule="atLeast"/>
                    <w:jc w:val="center"/>
                    <w:rPr>
                      <w:rFonts w:ascii="Times New Roman" w:hAnsi="Times New Roman" w:cs="Times New Roman"/>
                      <w:highlight w:val="none"/>
                      <w:lang w:val="en-GB"/>
                    </w:rPr>
                  </w:pPr>
                </w:p>
              </w:tc>
            </w:tr>
            <w:tr w14:paraId="5AB6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shd w:val="clear" w:color="auto" w:fill="auto"/>
                  <w:vAlign w:val="center"/>
                </w:tcPr>
                <w:p w14:paraId="244552B4">
                  <w:pPr>
                    <w:spacing w:line="240" w:lineRule="atLeast"/>
                    <w:jc w:val="center"/>
                    <w:rPr>
                      <w:rFonts w:hint="default" w:ascii="Times New Roman" w:hAnsi="Times New Roman" w:cs="Times New Roman"/>
                      <w:highlight w:val="none"/>
                      <w:lang w:val="en-US" w:eastAsia="zh-CN"/>
                    </w:rPr>
                  </w:pPr>
                  <w:r>
                    <w:rPr>
                      <w:rFonts w:ascii="Times New Roman" w:hAnsi="Times New Roman" w:cs="Times New Roman"/>
                      <w:highlight w:val="none"/>
                      <w:lang w:val="en-GB"/>
                    </w:rPr>
                    <w:t>西侧、南侧、北侧</w:t>
                  </w:r>
                  <w:r>
                    <w:rPr>
                      <w:rFonts w:hint="eastAsia" w:ascii="Times New Roman" w:hAnsi="Times New Roman" w:cs="Times New Roman"/>
                      <w:highlight w:val="none"/>
                      <w:lang w:val="en-US" w:eastAsia="zh-CN"/>
                    </w:rPr>
                    <w:t>厂界外1m</w:t>
                  </w:r>
                </w:p>
              </w:tc>
              <w:tc>
                <w:tcPr>
                  <w:tcW w:w="2060" w:type="dxa"/>
                </w:tcPr>
                <w:p w14:paraId="11AEF248">
                  <w:pPr>
                    <w:spacing w:line="240" w:lineRule="atLeast"/>
                    <w:jc w:val="center"/>
                    <w:rPr>
                      <w:rFonts w:ascii="Times New Roman" w:hAnsi="Times New Roman" w:cs="Times New Roman"/>
                      <w:highlight w:val="none"/>
                      <w:lang w:val="en-GB"/>
                    </w:rPr>
                  </w:pPr>
                  <w:r>
                    <w:rPr>
                      <w:rFonts w:ascii="Times New Roman" w:hAnsi="Times New Roman" w:cs="Times New Roman"/>
                      <w:highlight w:val="none"/>
                      <w:lang w:val="en-GB"/>
                    </w:rPr>
                    <w:t>《工业企业厂界环境噪声排放标准》（GB12348-2008）</w:t>
                  </w:r>
                </w:p>
              </w:tc>
              <w:tc>
                <w:tcPr>
                  <w:tcW w:w="715" w:type="dxa"/>
                  <w:vAlign w:val="center"/>
                </w:tcPr>
                <w:p w14:paraId="39638310">
                  <w:pPr>
                    <w:spacing w:line="240" w:lineRule="atLeast"/>
                    <w:jc w:val="center"/>
                    <w:rPr>
                      <w:rFonts w:ascii="Times New Roman" w:hAnsi="Times New Roman" w:cs="Times New Roman"/>
                      <w:highlight w:val="none"/>
                      <w:lang w:val="en-GB"/>
                    </w:rPr>
                  </w:pPr>
                  <w:r>
                    <w:rPr>
                      <w:rFonts w:hint="eastAsia" w:ascii="Times New Roman" w:hAnsi="Times New Roman" w:cs="Times New Roman"/>
                      <w:highlight w:val="none"/>
                      <w:lang w:val="en-GB"/>
                    </w:rPr>
                    <w:t>4</w:t>
                  </w:r>
                  <w:r>
                    <w:rPr>
                      <w:rFonts w:ascii="Times New Roman" w:hAnsi="Times New Roman" w:cs="Times New Roman"/>
                      <w:highlight w:val="none"/>
                      <w:lang w:val="en-GB"/>
                    </w:rPr>
                    <w:t>类</w:t>
                  </w:r>
                </w:p>
              </w:tc>
              <w:tc>
                <w:tcPr>
                  <w:tcW w:w="854" w:type="dxa"/>
                  <w:shd w:val="clear" w:color="auto" w:fill="auto"/>
                  <w:vAlign w:val="center"/>
                </w:tcPr>
                <w:p w14:paraId="6DF923C1">
                  <w:pPr>
                    <w:pStyle w:val="41"/>
                    <w:ind w:right="113" w:rightChars="0"/>
                    <w:rPr>
                      <w:rFonts w:ascii="Times New Roman" w:hAnsi="Times New Roman" w:cs="Times New Roman" w:eastAsiaTheme="minorEastAsia"/>
                      <w:kern w:val="0"/>
                      <w:sz w:val="21"/>
                      <w:szCs w:val="21"/>
                      <w:highlight w:val="none"/>
                      <w:lang w:val="en-GB" w:eastAsia="zh-CN" w:bidi="ar-SA"/>
                    </w:rPr>
                  </w:pPr>
                  <w:r>
                    <w:rPr>
                      <w:rFonts w:hint="eastAsia" w:ascii="Times New Roman" w:hAnsi="Times New Roman" w:cs="Times New Roman" w:eastAsiaTheme="minorEastAsia"/>
                      <w:sz w:val="21"/>
                      <w:szCs w:val="21"/>
                      <w:highlight w:val="none"/>
                    </w:rPr>
                    <w:t>70</w:t>
                  </w:r>
                </w:p>
              </w:tc>
              <w:tc>
                <w:tcPr>
                  <w:tcW w:w="877" w:type="dxa"/>
                  <w:shd w:val="clear" w:color="auto" w:fill="auto"/>
                  <w:vAlign w:val="center"/>
                </w:tcPr>
                <w:p w14:paraId="3A00273B">
                  <w:pPr>
                    <w:pStyle w:val="41"/>
                    <w:ind w:right="113" w:rightChars="0"/>
                    <w:rPr>
                      <w:rFonts w:ascii="Times New Roman" w:hAnsi="Times New Roman" w:eastAsia="Arial" w:cs="Times New Roman"/>
                      <w:kern w:val="0"/>
                      <w:sz w:val="21"/>
                      <w:szCs w:val="21"/>
                      <w:highlight w:val="none"/>
                      <w:lang w:val="en-GB" w:eastAsia="zh-CN" w:bidi="ar-SA"/>
                    </w:rPr>
                  </w:pPr>
                  <w:r>
                    <w:rPr>
                      <w:rFonts w:ascii="Times New Roman" w:hAnsi="Times New Roman" w:cs="Times New Roman"/>
                      <w:sz w:val="21"/>
                      <w:szCs w:val="21"/>
                      <w:highlight w:val="none"/>
                    </w:rPr>
                    <w:t>55</w:t>
                  </w:r>
                </w:p>
              </w:tc>
              <w:tc>
                <w:tcPr>
                  <w:tcW w:w="1350" w:type="dxa"/>
                  <w:vAlign w:val="center"/>
                </w:tcPr>
                <w:p w14:paraId="6783B3AF">
                  <w:pPr>
                    <w:spacing w:line="240" w:lineRule="atLeast"/>
                    <w:jc w:val="center"/>
                    <w:rPr>
                      <w:rFonts w:ascii="Times New Roman" w:hAnsi="Times New Roman" w:cs="Times New Roman"/>
                      <w:highlight w:val="none"/>
                      <w:lang w:val="en-GB"/>
                    </w:rPr>
                  </w:pPr>
                  <w:r>
                    <w:rPr>
                      <w:rFonts w:hint="eastAsia" w:ascii="Times New Roman" w:hAnsi="Times New Roman" w:cs="Times New Roman"/>
                      <w:sz w:val="21"/>
                      <w:szCs w:val="21"/>
                      <w:highlight w:val="none"/>
                      <w:vertAlign w:val="baseline"/>
                      <w:lang w:val="en-US" w:eastAsia="zh-CN"/>
                    </w:rPr>
                    <w:t>无变化</w:t>
                  </w:r>
                </w:p>
              </w:tc>
            </w:tr>
            <w:tr w14:paraId="0D0E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5" w:type="dxa"/>
                  <w:shd w:val="clear" w:color="auto" w:fill="auto"/>
                  <w:vAlign w:val="center"/>
                </w:tcPr>
                <w:p w14:paraId="1B59C4B7">
                  <w:pPr>
                    <w:spacing w:line="240" w:lineRule="atLeast"/>
                    <w:jc w:val="center"/>
                    <w:rPr>
                      <w:rFonts w:ascii="Times New Roman" w:hAnsi="Times New Roman" w:cs="Times New Roman"/>
                      <w:highlight w:val="none"/>
                      <w:lang w:val="en-US" w:eastAsia="zh-CN"/>
                    </w:rPr>
                  </w:pPr>
                  <w:r>
                    <w:rPr>
                      <w:rFonts w:hint="eastAsia" w:ascii="Times New Roman" w:hAnsi="Times New Roman" w:cs="Times New Roman"/>
                      <w:highlight w:val="none"/>
                      <w:lang w:val="en-GB"/>
                    </w:rPr>
                    <w:t>东</w:t>
                  </w:r>
                  <w:r>
                    <w:rPr>
                      <w:rFonts w:ascii="Times New Roman" w:hAnsi="Times New Roman" w:cs="Times New Roman"/>
                      <w:highlight w:val="none"/>
                      <w:lang w:val="en-GB"/>
                    </w:rPr>
                    <w:t>侧</w:t>
                  </w:r>
                  <w:r>
                    <w:rPr>
                      <w:rFonts w:hint="eastAsia" w:ascii="Times New Roman" w:hAnsi="Times New Roman" w:cs="Times New Roman"/>
                      <w:highlight w:val="none"/>
                      <w:lang w:val="en-US" w:eastAsia="zh-CN"/>
                    </w:rPr>
                    <w:t>厂界外1m</w:t>
                  </w:r>
                </w:p>
              </w:tc>
              <w:tc>
                <w:tcPr>
                  <w:tcW w:w="2060" w:type="dxa"/>
                </w:tcPr>
                <w:p w14:paraId="7ADA9581">
                  <w:pPr>
                    <w:spacing w:line="240" w:lineRule="atLeast"/>
                    <w:jc w:val="center"/>
                    <w:rPr>
                      <w:rFonts w:ascii="Times New Roman" w:hAnsi="Times New Roman" w:cs="Times New Roman"/>
                      <w:highlight w:val="none"/>
                      <w:lang w:val="en-GB"/>
                    </w:rPr>
                  </w:pPr>
                  <w:r>
                    <w:rPr>
                      <w:rFonts w:ascii="Times New Roman" w:hAnsi="Times New Roman" w:cs="Times New Roman"/>
                      <w:highlight w:val="none"/>
                      <w:lang w:val="en-GB"/>
                    </w:rPr>
                    <w:t>《工业企业厂界环境噪声排放标准》（GB12348-2008）</w:t>
                  </w:r>
                </w:p>
              </w:tc>
              <w:tc>
                <w:tcPr>
                  <w:tcW w:w="715" w:type="dxa"/>
                  <w:vAlign w:val="center"/>
                </w:tcPr>
                <w:p w14:paraId="35173AB0">
                  <w:pPr>
                    <w:spacing w:line="240" w:lineRule="atLeast"/>
                    <w:jc w:val="center"/>
                    <w:rPr>
                      <w:rFonts w:ascii="Times New Roman" w:hAnsi="Times New Roman" w:cs="Times New Roman"/>
                      <w:highlight w:val="none"/>
                      <w:lang w:val="en-GB"/>
                    </w:rPr>
                  </w:pPr>
                  <w:r>
                    <w:rPr>
                      <w:rFonts w:hint="eastAsia" w:ascii="Times New Roman" w:hAnsi="Times New Roman" w:cs="Times New Roman"/>
                      <w:highlight w:val="none"/>
                      <w:lang w:val="en-US" w:eastAsia="zh-CN"/>
                    </w:rPr>
                    <w:t>3</w:t>
                  </w:r>
                  <w:r>
                    <w:rPr>
                      <w:rFonts w:ascii="Times New Roman" w:hAnsi="Times New Roman" w:cs="Times New Roman"/>
                      <w:highlight w:val="none"/>
                      <w:lang w:val="en-GB"/>
                    </w:rPr>
                    <w:t>类</w:t>
                  </w:r>
                </w:p>
              </w:tc>
              <w:tc>
                <w:tcPr>
                  <w:tcW w:w="854" w:type="dxa"/>
                  <w:shd w:val="clear" w:color="auto" w:fill="auto"/>
                  <w:vAlign w:val="center"/>
                </w:tcPr>
                <w:p w14:paraId="684F831A">
                  <w:pPr>
                    <w:pStyle w:val="41"/>
                    <w:ind w:right="113" w:rightChars="0"/>
                    <w:rPr>
                      <w:rFonts w:ascii="Times New Roman" w:hAnsi="Times New Roman" w:eastAsia="Arial" w:cs="Times New Roman"/>
                      <w:kern w:val="0"/>
                      <w:sz w:val="21"/>
                      <w:szCs w:val="21"/>
                      <w:highlight w:val="none"/>
                      <w:lang w:val="en-GB" w:eastAsia="zh-CN" w:bidi="ar-SA"/>
                    </w:rPr>
                  </w:pPr>
                  <w:r>
                    <w:rPr>
                      <w:rFonts w:ascii="Times New Roman" w:hAnsi="Times New Roman" w:cs="Times New Roman"/>
                      <w:sz w:val="21"/>
                      <w:szCs w:val="21"/>
                      <w:highlight w:val="none"/>
                    </w:rPr>
                    <w:t>65</w:t>
                  </w:r>
                </w:p>
              </w:tc>
              <w:tc>
                <w:tcPr>
                  <w:tcW w:w="877" w:type="dxa"/>
                  <w:shd w:val="clear" w:color="auto" w:fill="auto"/>
                  <w:vAlign w:val="center"/>
                </w:tcPr>
                <w:p w14:paraId="092E9443">
                  <w:pPr>
                    <w:pStyle w:val="41"/>
                    <w:ind w:right="113" w:rightChars="0"/>
                    <w:rPr>
                      <w:rFonts w:ascii="Times New Roman" w:hAnsi="Times New Roman" w:eastAsia="Arial" w:cs="Times New Roman"/>
                      <w:kern w:val="0"/>
                      <w:sz w:val="21"/>
                      <w:szCs w:val="21"/>
                      <w:highlight w:val="none"/>
                      <w:lang w:val="en-GB" w:eastAsia="zh-CN" w:bidi="ar-SA"/>
                    </w:rPr>
                  </w:pPr>
                  <w:r>
                    <w:rPr>
                      <w:rFonts w:ascii="Times New Roman" w:hAnsi="Times New Roman" w:cs="Times New Roman"/>
                      <w:sz w:val="21"/>
                      <w:szCs w:val="21"/>
                      <w:highlight w:val="none"/>
                    </w:rPr>
                    <w:t>55</w:t>
                  </w:r>
                </w:p>
              </w:tc>
              <w:tc>
                <w:tcPr>
                  <w:tcW w:w="1350" w:type="dxa"/>
                  <w:vAlign w:val="center"/>
                </w:tcPr>
                <w:p w14:paraId="6293FA90">
                  <w:pPr>
                    <w:spacing w:line="240" w:lineRule="atLeast"/>
                    <w:jc w:val="center"/>
                    <w:rPr>
                      <w:rFonts w:ascii="Times New Roman" w:hAnsi="Times New Roman" w:cs="Times New Roman"/>
                      <w:highlight w:val="none"/>
                      <w:lang w:val="en-GB"/>
                    </w:rPr>
                  </w:pPr>
                  <w:r>
                    <w:rPr>
                      <w:rFonts w:hint="eastAsia" w:ascii="Times New Roman" w:hAnsi="Times New Roman" w:cs="Times New Roman"/>
                      <w:sz w:val="21"/>
                      <w:szCs w:val="21"/>
                      <w:highlight w:val="none"/>
                      <w:vertAlign w:val="baseline"/>
                      <w:lang w:val="en-US" w:eastAsia="zh-CN"/>
                    </w:rPr>
                    <w:t>无变化</w:t>
                  </w:r>
                </w:p>
              </w:tc>
            </w:tr>
          </w:tbl>
          <w:p w14:paraId="5C5F4863">
            <w:pPr>
              <w:spacing w:line="360" w:lineRule="auto"/>
              <w:rPr>
                <w:rFonts w:ascii="Times New Roman" w:hAnsi="Times New Roman" w:cs="Times New Roman"/>
                <w:sz w:val="24"/>
                <w:szCs w:val="24"/>
                <w:highlight w:val="yellow"/>
              </w:rPr>
            </w:pPr>
          </w:p>
          <w:p w14:paraId="634EFECC">
            <w:pPr>
              <w:pStyle w:val="47"/>
              <w:rPr>
                <w:rFonts w:ascii="Times New Roman" w:hAnsi="Times New Roman" w:cs="Times New Roman"/>
                <w:color w:val="auto"/>
                <w:highlight w:val="yellow"/>
              </w:rPr>
            </w:pPr>
          </w:p>
        </w:tc>
      </w:tr>
    </w:tbl>
    <w:p w14:paraId="3A1B13C7">
      <w:pPr>
        <w:spacing w:line="276" w:lineRule="auto"/>
        <w:jc w:val="left"/>
        <w:outlineLvl w:val="0"/>
        <w:rPr>
          <w:rFonts w:ascii="Times New Roman" w:hAnsi="Times New Roman" w:cs="Times New Roman"/>
          <w:sz w:val="28"/>
          <w:szCs w:val="28"/>
          <w:highlight w:val="none"/>
        </w:rPr>
      </w:pPr>
      <w:bookmarkStart w:id="5" w:name="_Toc112582494"/>
      <w:r>
        <w:rPr>
          <w:rFonts w:ascii="Times New Roman" w:hAnsi="Times New Roman" w:cs="Times New Roman"/>
          <w:sz w:val="28"/>
          <w:szCs w:val="28"/>
          <w:highlight w:val="none"/>
        </w:rPr>
        <w:t>表二</w:t>
      </w:r>
    </w:p>
    <w:tbl>
      <w:tblPr>
        <w:tblStyle w:val="20"/>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7"/>
      </w:tblGrid>
      <w:tr w14:paraId="0EC5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0" w:hRule="atLeast"/>
          <w:jc w:val="center"/>
        </w:trPr>
        <w:tc>
          <w:tcPr>
            <w:tcW w:w="8787" w:type="dxa"/>
          </w:tcPr>
          <w:p w14:paraId="41149958">
            <w:pPr>
              <w:spacing w:line="360" w:lineRule="auto"/>
              <w:jc w:val="left"/>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项目地理位置和厂区平面布局</w:t>
            </w:r>
          </w:p>
          <w:p w14:paraId="7A1F7915">
            <w:pPr>
              <w:spacing w:line="360" w:lineRule="auto"/>
              <w:ind w:firstLine="480" w:firstLineChars="200"/>
              <w:jc w:val="left"/>
              <w:rPr>
                <w:rFonts w:hint="default" w:ascii="Times New Roman" w:hAnsi="Times New Roman" w:cs="Times New Roman" w:eastAsiaTheme="minorEastAsia"/>
                <w:sz w:val="24"/>
                <w:highlight w:val="none"/>
                <w:lang w:val="en-US" w:eastAsia="zh-CN"/>
              </w:rPr>
            </w:pPr>
            <w:r>
              <w:rPr>
                <w:rFonts w:hint="eastAsia" w:ascii="Times New Roman" w:hAnsi="Times New Roman" w:cs="Times New Roman"/>
                <w:sz w:val="24"/>
                <w:highlight w:val="none"/>
                <w:lang w:val="en-US" w:eastAsia="zh-CN"/>
              </w:rPr>
              <w:t>1、项目位置</w:t>
            </w:r>
          </w:p>
          <w:p w14:paraId="139A2ABA">
            <w:pPr>
              <w:spacing w:line="360" w:lineRule="auto"/>
              <w:ind w:firstLine="480" w:firstLineChars="200"/>
              <w:jc w:val="left"/>
              <w:rPr>
                <w:color w:val="000000" w:themeColor="text1"/>
                <w:sz w:val="24"/>
                <w:highlight w:val="none"/>
                <w14:textFill>
                  <w14:solidFill>
                    <w14:schemeClr w14:val="tx1"/>
                  </w14:solidFill>
                </w14:textFill>
              </w:rPr>
            </w:pPr>
            <w:r>
              <w:rPr>
                <w:rFonts w:hint="eastAsia" w:ascii="Times New Roman" w:hAnsi="Times New Roman" w:cs="Times New Roman"/>
                <w:sz w:val="24"/>
                <w:highlight w:val="none"/>
                <w:lang w:eastAsia="zh-CN"/>
              </w:rPr>
              <w:t>诺和诺德（中国）制药有限公司</w:t>
            </w:r>
            <w:r>
              <w:rPr>
                <w:rFonts w:ascii="Times New Roman" w:hAnsi="Times New Roman" w:cs="Times New Roman"/>
                <w:sz w:val="24"/>
                <w:highlight w:val="none"/>
              </w:rPr>
              <w:t>（以下简称“</w:t>
            </w:r>
            <w:r>
              <w:rPr>
                <w:rFonts w:hint="eastAsia" w:ascii="Times New Roman" w:hAnsi="Times New Roman" w:cs="Times New Roman"/>
                <w:sz w:val="24"/>
                <w:highlight w:val="none"/>
                <w:lang w:val="en-US" w:eastAsia="zh-CN"/>
              </w:rPr>
              <w:t>诺和诺德</w:t>
            </w:r>
            <w:r>
              <w:rPr>
                <w:rFonts w:ascii="Times New Roman" w:hAnsi="Times New Roman" w:cs="Times New Roman"/>
                <w:sz w:val="24"/>
                <w:highlight w:val="none"/>
              </w:rPr>
              <w:t>公司”）</w:t>
            </w:r>
            <w:r>
              <w:rPr>
                <w:rFonts w:hint="eastAsia" w:ascii="Times New Roman" w:hAnsi="Times New Roman" w:cs="Times New Roman"/>
                <w:sz w:val="24"/>
                <w:highlight w:val="none"/>
                <w:lang w:val="en-US" w:eastAsia="zh-CN"/>
              </w:rPr>
              <w:t>现有三个厂区，本项目所在厂区</w:t>
            </w:r>
            <w:r>
              <w:rPr>
                <w:rFonts w:hint="eastAsia" w:ascii="Times New Roman" w:hAnsi="Times New Roman" w:cs="Times New Roman"/>
                <w:sz w:val="24"/>
                <w:highlight w:val="none"/>
                <w:lang w:eastAsia="zh-CN"/>
              </w:rPr>
              <w:t>位于天津经济技术开发区东区相安路31号，</w:t>
            </w:r>
            <w:r>
              <w:rPr>
                <w:rFonts w:hint="eastAsia"/>
                <w:sz w:val="24"/>
                <w:highlight w:val="none"/>
              </w:rPr>
              <w:t>南至第六大街，隔六大街为爱克林（天津）有限公司和天津千之铧国际贸易有限公司；北至第七大街，隔第七大街为施耐德梅兰日兰低压（天津）有限公司和天津雀巢有限公司；东至相安路，隔相安路为诺和诺德公司二厂；西至睦宁路，隔睦宁路为柏欣科技有限公司、俊安集团睦宁工业园、乐福科技有限公司、宏源厨业股份有限公司</w:t>
            </w:r>
            <w:r>
              <w:rPr>
                <w:color w:val="000000" w:themeColor="text1"/>
                <w:sz w:val="24"/>
                <w:highlight w:val="none"/>
                <w14:textFill>
                  <w14:solidFill>
                    <w14:schemeClr w14:val="tx1"/>
                  </w14:solidFill>
                </w14:textFill>
              </w:rPr>
              <w:t>。</w:t>
            </w:r>
          </w:p>
          <w:p w14:paraId="3243D637">
            <w:pPr>
              <w:pStyle w:val="5"/>
              <w:ind w:left="0" w:leftChars="0" w:firstLine="0" w:firstLineChars="0"/>
              <w:jc w:val="center"/>
              <w:rPr>
                <w:highlight w:val="yellow"/>
              </w:rPr>
            </w:pPr>
            <w:r>
              <w:rPr>
                <w:sz w:val="21"/>
                <w:highlight w:val="yellow"/>
              </w:rPr>
              <mc:AlternateContent>
                <mc:Choice Requires="wps">
                  <w:drawing>
                    <wp:anchor distT="0" distB="0" distL="114300" distR="114300" simplePos="0" relativeHeight="251659264" behindDoc="0" locked="0" layoutInCell="1" allowOverlap="1">
                      <wp:simplePos x="0" y="0"/>
                      <wp:positionH relativeFrom="column">
                        <wp:posOffset>3040380</wp:posOffset>
                      </wp:positionH>
                      <wp:positionV relativeFrom="paragraph">
                        <wp:posOffset>857250</wp:posOffset>
                      </wp:positionV>
                      <wp:extent cx="1841500" cy="492125"/>
                      <wp:effectExtent l="12700" t="12700" r="12700" b="1019175"/>
                      <wp:wrapNone/>
                      <wp:docPr id="56" name="矩形标注 56"/>
                      <wp:cNvGraphicFramePr/>
                      <a:graphic xmlns:a="http://schemas.openxmlformats.org/drawingml/2006/main">
                        <a:graphicData uri="http://schemas.microsoft.com/office/word/2010/wordprocessingShape">
                          <wps:wsp>
                            <wps:cNvSpPr/>
                            <wps:spPr>
                              <a:xfrm>
                                <a:off x="4164965" y="4659630"/>
                                <a:ext cx="1841500" cy="492125"/>
                              </a:xfrm>
                              <a:prstGeom prst="wedgeRectCallout">
                                <a:avLst>
                                  <a:gd name="adj1" fmla="val -42488"/>
                                  <a:gd name="adj2" fmla="val 252307"/>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2465A667">
                                  <w:pPr>
                                    <w:jc w:val="both"/>
                                    <w:rPr>
                                      <w:rFonts w:hint="eastAsia"/>
                                      <w:b/>
                                      <w:bCs/>
                                      <w:color w:val="0070C0"/>
                                      <w:lang w:val="en-US" w:eastAsia="zh-CN"/>
                                    </w:rPr>
                                  </w:pPr>
                                  <w:r>
                                    <w:rPr>
                                      <w:rFonts w:hint="eastAsia"/>
                                      <w:b/>
                                      <w:bCs/>
                                      <w:color w:val="0070C0"/>
                                      <w:lang w:val="en-US" w:eastAsia="zh-CN"/>
                                    </w:rPr>
                                    <w:t>经度：117°42'13.3531"</w:t>
                                  </w:r>
                                </w:p>
                                <w:p w14:paraId="32F4D9E7">
                                  <w:pPr>
                                    <w:pStyle w:val="5"/>
                                    <w:ind w:left="0" w:leftChars="0" w:firstLine="0" w:firstLineChars="0"/>
                                    <w:rPr>
                                      <w:rFonts w:hint="default" w:asciiTheme="minorHAnsi" w:hAnsiTheme="minorHAnsi" w:eastAsiaTheme="minorEastAsia" w:cstheme="minorBidi"/>
                                      <w:b/>
                                      <w:bCs/>
                                      <w:color w:val="0070C0"/>
                                      <w:kern w:val="2"/>
                                      <w:sz w:val="21"/>
                                      <w:szCs w:val="22"/>
                                      <w:lang w:val="en-US" w:eastAsia="zh-CN" w:bidi="ar-SA"/>
                                    </w:rPr>
                                  </w:pPr>
                                  <w:r>
                                    <w:rPr>
                                      <w:rFonts w:hint="eastAsia" w:asciiTheme="minorHAnsi" w:hAnsiTheme="minorHAnsi" w:eastAsiaTheme="minorEastAsia" w:cstheme="minorBidi"/>
                                      <w:b/>
                                      <w:bCs/>
                                      <w:color w:val="0070C0"/>
                                      <w:kern w:val="2"/>
                                      <w:sz w:val="21"/>
                                      <w:szCs w:val="22"/>
                                      <w:lang w:val="en-US" w:eastAsia="zh-CN" w:bidi="ar-SA"/>
                                    </w:rPr>
                                    <w:t>纬度：39°0</w:t>
                                  </w:r>
                                  <w:r>
                                    <w:rPr>
                                      <w:rFonts w:hint="eastAsia" w:eastAsiaTheme="minorEastAsia" w:cstheme="minorBidi"/>
                                      <w:b/>
                                      <w:bCs/>
                                      <w:color w:val="0070C0"/>
                                      <w:kern w:val="2"/>
                                      <w:sz w:val="21"/>
                                      <w:szCs w:val="22"/>
                                      <w:lang w:val="en-US" w:eastAsia="zh-CN" w:bidi="ar-SA"/>
                                    </w:rPr>
                                    <w:t>2</w:t>
                                  </w:r>
                                  <w:r>
                                    <w:rPr>
                                      <w:rFonts w:hint="eastAsia" w:asciiTheme="minorHAnsi" w:hAnsiTheme="minorHAnsi" w:eastAsiaTheme="minorEastAsia" w:cstheme="minorBidi"/>
                                      <w:b/>
                                      <w:bCs/>
                                      <w:color w:val="0070C0"/>
                                      <w:kern w:val="2"/>
                                      <w:sz w:val="21"/>
                                      <w:szCs w:val="22"/>
                                      <w:lang w:val="en-US" w:eastAsia="zh-CN" w:bidi="ar-SA"/>
                                    </w:rPr>
                                    <w:t>'</w:t>
                                  </w:r>
                                  <w:r>
                                    <w:rPr>
                                      <w:rFonts w:hint="eastAsia" w:eastAsiaTheme="minorEastAsia" w:cstheme="minorBidi"/>
                                      <w:b/>
                                      <w:bCs/>
                                      <w:color w:val="0070C0"/>
                                      <w:kern w:val="2"/>
                                      <w:sz w:val="21"/>
                                      <w:szCs w:val="22"/>
                                      <w:lang w:val="en-US" w:eastAsia="zh-CN" w:bidi="ar-SA"/>
                                    </w:rPr>
                                    <w:t>57.4305</w:t>
                                  </w:r>
                                  <w:r>
                                    <w:rPr>
                                      <w:rFonts w:hint="eastAsia" w:asciiTheme="minorHAnsi" w:hAnsiTheme="minorHAnsi" w:eastAsiaTheme="minorEastAsia" w:cstheme="minorBidi"/>
                                      <w:b/>
                                      <w:bCs/>
                                      <w:color w:val="0070C0"/>
                                      <w:kern w:val="2"/>
                                      <w:sz w:val="21"/>
                                      <w:szCs w:val="22"/>
                                      <w:lang w:val="en-US" w:eastAsia="zh-CN" w:bidi="ar-SA"/>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39.4pt;margin-top:67.5pt;height:38.75pt;width:145pt;z-index:251659264;v-text-anchor:middle;mso-width-relative:page;mso-height-relative:page;" filled="f" stroked="t" coordsize="21600,21600" o:gfxdata="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B4B4+62gAAAAsBAAAPAAAAAAAA&#10;AAEAIAAAACIAAABkcnMvZG93bnJldi54bWxQSwECFAAUAAAACACHTuJAF4OKCrsCAABUBQAADgAA&#10;AAAAAAABACAAAAApAQAAZHJzL2Uyb0RvYy54bWxQSwUGAAAAAAYABgBZAQAAVgYAAAAA&#10;" adj="1623,65298">
                      <v:fill on="f" focussize="0,0"/>
                      <v:stroke weight="2pt" color="#376092 [2404]" joinstyle="round"/>
                      <v:imagedata o:title=""/>
                      <o:lock v:ext="edit" aspectratio="f"/>
                      <v:textbox>
                        <w:txbxContent>
                          <w:p w14:paraId="2465A667">
                            <w:pPr>
                              <w:jc w:val="both"/>
                              <w:rPr>
                                <w:rFonts w:hint="eastAsia"/>
                                <w:b/>
                                <w:bCs/>
                                <w:color w:val="0070C0"/>
                                <w:lang w:val="en-US" w:eastAsia="zh-CN"/>
                              </w:rPr>
                            </w:pPr>
                            <w:r>
                              <w:rPr>
                                <w:rFonts w:hint="eastAsia"/>
                                <w:b/>
                                <w:bCs/>
                                <w:color w:val="0070C0"/>
                                <w:lang w:val="en-US" w:eastAsia="zh-CN"/>
                              </w:rPr>
                              <w:t>经度：117°42'13.3531"</w:t>
                            </w:r>
                          </w:p>
                          <w:p w14:paraId="32F4D9E7">
                            <w:pPr>
                              <w:pStyle w:val="5"/>
                              <w:ind w:left="0" w:leftChars="0" w:firstLine="0" w:firstLineChars="0"/>
                              <w:rPr>
                                <w:rFonts w:hint="default" w:asciiTheme="minorHAnsi" w:hAnsiTheme="minorHAnsi" w:eastAsiaTheme="minorEastAsia" w:cstheme="minorBidi"/>
                                <w:b/>
                                <w:bCs/>
                                <w:color w:val="0070C0"/>
                                <w:kern w:val="2"/>
                                <w:sz w:val="21"/>
                                <w:szCs w:val="22"/>
                                <w:lang w:val="en-US" w:eastAsia="zh-CN" w:bidi="ar-SA"/>
                              </w:rPr>
                            </w:pPr>
                            <w:r>
                              <w:rPr>
                                <w:rFonts w:hint="eastAsia" w:asciiTheme="minorHAnsi" w:hAnsiTheme="minorHAnsi" w:eastAsiaTheme="minorEastAsia" w:cstheme="minorBidi"/>
                                <w:b/>
                                <w:bCs/>
                                <w:color w:val="0070C0"/>
                                <w:kern w:val="2"/>
                                <w:sz w:val="21"/>
                                <w:szCs w:val="22"/>
                                <w:lang w:val="en-US" w:eastAsia="zh-CN" w:bidi="ar-SA"/>
                              </w:rPr>
                              <w:t>纬度：39°0</w:t>
                            </w:r>
                            <w:r>
                              <w:rPr>
                                <w:rFonts w:hint="eastAsia" w:eastAsiaTheme="minorEastAsia" w:cstheme="minorBidi"/>
                                <w:b/>
                                <w:bCs/>
                                <w:color w:val="0070C0"/>
                                <w:kern w:val="2"/>
                                <w:sz w:val="21"/>
                                <w:szCs w:val="22"/>
                                <w:lang w:val="en-US" w:eastAsia="zh-CN" w:bidi="ar-SA"/>
                              </w:rPr>
                              <w:t>2</w:t>
                            </w:r>
                            <w:r>
                              <w:rPr>
                                <w:rFonts w:hint="eastAsia" w:asciiTheme="minorHAnsi" w:hAnsiTheme="minorHAnsi" w:eastAsiaTheme="minorEastAsia" w:cstheme="minorBidi"/>
                                <w:b/>
                                <w:bCs/>
                                <w:color w:val="0070C0"/>
                                <w:kern w:val="2"/>
                                <w:sz w:val="21"/>
                                <w:szCs w:val="22"/>
                                <w:lang w:val="en-US" w:eastAsia="zh-CN" w:bidi="ar-SA"/>
                              </w:rPr>
                              <w:t>'</w:t>
                            </w:r>
                            <w:r>
                              <w:rPr>
                                <w:rFonts w:hint="eastAsia" w:eastAsiaTheme="minorEastAsia" w:cstheme="minorBidi"/>
                                <w:b/>
                                <w:bCs/>
                                <w:color w:val="0070C0"/>
                                <w:kern w:val="2"/>
                                <w:sz w:val="21"/>
                                <w:szCs w:val="22"/>
                                <w:lang w:val="en-US" w:eastAsia="zh-CN" w:bidi="ar-SA"/>
                              </w:rPr>
                              <w:t>57.4305</w:t>
                            </w:r>
                            <w:r>
                              <w:rPr>
                                <w:rFonts w:hint="eastAsia" w:asciiTheme="minorHAnsi" w:hAnsiTheme="minorHAnsi" w:eastAsiaTheme="minorEastAsia" w:cstheme="minorBidi"/>
                                <w:b/>
                                <w:bCs/>
                                <w:color w:val="0070C0"/>
                                <w:kern w:val="2"/>
                                <w:sz w:val="21"/>
                                <w:szCs w:val="22"/>
                                <w:lang w:val="en-US" w:eastAsia="zh-CN" w:bidi="ar-SA"/>
                              </w:rPr>
                              <w:t>"</w:t>
                            </w:r>
                          </w:p>
                        </w:txbxContent>
                      </v:textbox>
                    </v:shape>
                  </w:pict>
                </mc:Fallback>
              </mc:AlternateContent>
            </w:r>
            <w:r>
              <w:rPr>
                <w:highlight w:val="none"/>
              </w:rPr>
              <w:drawing>
                <wp:inline distT="0" distB="0" distL="114300" distR="114300">
                  <wp:extent cx="4118610" cy="5688330"/>
                  <wp:effectExtent l="0" t="0" r="15240" b="762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7"/>
                          <a:stretch>
                            <a:fillRect/>
                          </a:stretch>
                        </pic:blipFill>
                        <pic:spPr>
                          <a:xfrm>
                            <a:off x="0" y="0"/>
                            <a:ext cx="4118610" cy="5688330"/>
                          </a:xfrm>
                          <a:prstGeom prst="rect">
                            <a:avLst/>
                          </a:prstGeom>
                          <a:noFill/>
                          <a:ln>
                            <a:noFill/>
                          </a:ln>
                        </pic:spPr>
                      </pic:pic>
                    </a:graphicData>
                  </a:graphic>
                </wp:inline>
              </w:drawing>
            </w:r>
          </w:p>
          <w:p w14:paraId="0E318AE8">
            <w:pPr>
              <w:pStyle w:val="6"/>
              <w:jc w:val="center"/>
              <w:rPr>
                <w:rFonts w:hint="default" w:eastAsiaTheme="minorEastAsia"/>
                <w:highlight w:val="none"/>
                <w:lang w:val="en-US" w:eastAsia="zh-CN"/>
              </w:rPr>
            </w:pPr>
            <w:r>
              <w:rPr>
                <w:rFonts w:hint="default" w:ascii="Times New Roman" w:hAnsi="Times New Roman" w:cs="Times New Roman"/>
                <w:highlight w:val="none"/>
                <w:lang w:val="en-US" w:eastAsia="zh-CN"/>
              </w:rPr>
              <w:t>图2-1 本项目</w:t>
            </w:r>
            <w:r>
              <w:rPr>
                <w:rFonts w:hint="eastAsia"/>
                <w:highlight w:val="none"/>
                <w:lang w:val="en-US" w:eastAsia="zh-CN"/>
              </w:rPr>
              <w:t>位置示意图</w:t>
            </w:r>
          </w:p>
          <w:p w14:paraId="33CA5697">
            <w:pPr>
              <w:spacing w:line="360" w:lineRule="auto"/>
              <w:ind w:firstLine="480" w:firstLineChars="200"/>
              <w:jc w:val="left"/>
              <w:rPr>
                <w:rFonts w:hint="eastAsia" w:ascii="Times New Roman" w:hAnsi="Times New Roman" w:cs="Times New Roman"/>
                <w:sz w:val="24"/>
                <w:highlight w:val="yellow"/>
                <w:lang w:val="en-US" w:eastAsia="zh-CN"/>
              </w:rPr>
            </w:pPr>
          </w:p>
          <w:p w14:paraId="0AAC45E2">
            <w:pPr>
              <w:spacing w:line="360" w:lineRule="auto"/>
              <w:jc w:val="center"/>
              <w:rPr>
                <w:highlight w:val="yellow"/>
              </w:rPr>
            </w:pPr>
            <w:r>
              <w:rPr>
                <w:sz w:val="21"/>
              </w:rPr>
              <mc:AlternateContent>
                <mc:Choice Requires="wps">
                  <w:drawing>
                    <wp:anchor distT="0" distB="0" distL="114300" distR="114300" simplePos="0" relativeHeight="251664384" behindDoc="0" locked="0" layoutInCell="1" allowOverlap="1">
                      <wp:simplePos x="0" y="0"/>
                      <wp:positionH relativeFrom="column">
                        <wp:posOffset>3967480</wp:posOffset>
                      </wp:positionH>
                      <wp:positionV relativeFrom="paragraph">
                        <wp:posOffset>4125595</wp:posOffset>
                      </wp:positionV>
                      <wp:extent cx="1164590" cy="344170"/>
                      <wp:effectExtent l="0" t="0" r="0" b="0"/>
                      <wp:wrapNone/>
                      <wp:docPr id="59" name="文本框 59"/>
                      <wp:cNvGraphicFramePr/>
                      <a:graphic xmlns:a="http://schemas.openxmlformats.org/drawingml/2006/main">
                        <a:graphicData uri="http://schemas.microsoft.com/office/word/2010/wordprocessingShape">
                          <wps:wsp>
                            <wps:cNvSpPr txBox="1"/>
                            <wps:spPr>
                              <a:xfrm>
                                <a:off x="5084445" y="5365750"/>
                                <a:ext cx="1164590" cy="3441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D4499">
                                  <w:pPr>
                                    <w:rPr>
                                      <w:rFonts w:hint="default" w:eastAsiaTheme="minorEastAsia"/>
                                      <w:lang w:val="en-US" w:eastAsia="zh-CN"/>
                                    </w:rPr>
                                  </w:pPr>
                                  <w:r>
                                    <w:rPr>
                                      <w:rFonts w:hint="eastAsia"/>
                                      <w:lang w:val="en-US" w:eastAsia="zh-CN"/>
                                    </w:rPr>
                                    <w:t>各厂区厂界范围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4pt;margin-top:324.85pt;height:27.1pt;width:91.7pt;z-index:251664384;mso-width-relative:page;mso-height-relative:page;" filled="f" stroked="f" coordsize="21600,21600" o:gfxdata="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IIYAXdAAAACwEAAA8AAAAA&#10;AAAAAQAgAAAAIgAAAGRycy9kb3ducmV2LnhtbFBLAQIUABQAAAAIAIdO4kCwk/V4SAIAAHQEAAAO&#10;AAAAAAAAAAEAIAAAACwBAABkcnMvZTJvRG9jLnhtbFBLBQYAAAAABgAGAFkBAADmBQAAAAA=&#10;">
                      <v:fill on="f" focussize="0,0"/>
                      <v:stroke on="f" weight="0.5pt"/>
                      <v:imagedata o:title=""/>
                      <o:lock v:ext="edit" aspectratio="f"/>
                      <v:textbox>
                        <w:txbxContent>
                          <w:p w14:paraId="1CAD4499">
                            <w:pPr>
                              <w:rPr>
                                <w:rFonts w:hint="default" w:eastAsiaTheme="minorEastAsia"/>
                                <w:lang w:val="en-US" w:eastAsia="zh-CN"/>
                              </w:rPr>
                            </w:pPr>
                            <w:r>
                              <w:rPr>
                                <w:rFonts w:hint="eastAsia"/>
                                <w:lang w:val="en-US" w:eastAsia="zh-CN"/>
                              </w:rPr>
                              <w:t>各厂区厂界范围</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3505835</wp:posOffset>
                      </wp:positionH>
                      <wp:positionV relativeFrom="paragraph">
                        <wp:posOffset>4154805</wp:posOffset>
                      </wp:positionV>
                      <wp:extent cx="387985" cy="227330"/>
                      <wp:effectExtent l="12700" t="12700" r="18415" b="26670"/>
                      <wp:wrapNone/>
                      <wp:docPr id="60" name="矩形 60"/>
                      <wp:cNvGraphicFramePr/>
                      <a:graphic xmlns:a="http://schemas.openxmlformats.org/drawingml/2006/main">
                        <a:graphicData uri="http://schemas.microsoft.com/office/word/2010/wordprocessingShape">
                          <wps:wsp>
                            <wps:cNvSpPr/>
                            <wps:spPr>
                              <a:xfrm>
                                <a:off x="4593590" y="5387340"/>
                                <a:ext cx="387985" cy="227330"/>
                              </a:xfrm>
                              <a:prstGeom prst="rect">
                                <a:avLst/>
                              </a:prstGeom>
                              <a:noFill/>
                              <a:ln>
                                <a:solidFill>
                                  <a:srgbClr val="1DF71D"/>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6.05pt;margin-top:327.15pt;height:17.9pt;width:30.55pt;z-index:251663360;v-text-anchor:middle;mso-width-relative:page;mso-height-relative:page;" filled="f" stroked="t" coordsize="21600,21600" o:gfxdata="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WcOj02wAAAAsBAAAPAAAAAAAAAAEAIAAAACIAAABkcnMvZG93bnJldi54&#10;bWxQSwECFAAUAAAACACHTuJAqkakD2kCAADBBAAADgAAAAAAAAABACAAAAAqAQAAZHJzL2Uyb0Rv&#10;Yy54bWxQSwUGAAAAAAYABgBZAQAABQYAAAAA&#10;">
                      <v:fill on="f" focussize="0,0"/>
                      <v:stroke weight="2pt" color="#1DF71D [2404]" joinstyle="round"/>
                      <v:imagedata o:title=""/>
                      <o:lock v:ext="edit" aspectratio="f"/>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4025900</wp:posOffset>
                      </wp:positionH>
                      <wp:positionV relativeFrom="paragraph">
                        <wp:posOffset>3663950</wp:posOffset>
                      </wp:positionV>
                      <wp:extent cx="1010920" cy="351790"/>
                      <wp:effectExtent l="0" t="0" r="0" b="0"/>
                      <wp:wrapNone/>
                      <wp:docPr id="61" name="文本框 61"/>
                      <wp:cNvGraphicFramePr/>
                      <a:graphic xmlns:a="http://schemas.openxmlformats.org/drawingml/2006/main">
                        <a:graphicData uri="http://schemas.microsoft.com/office/word/2010/wordprocessingShape">
                          <wps:wsp>
                            <wps:cNvSpPr txBox="1"/>
                            <wps:spPr>
                              <a:xfrm>
                                <a:off x="5084445" y="4881880"/>
                                <a:ext cx="1010920"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871BF">
                                  <w:pPr>
                                    <w:rPr>
                                      <w:rFonts w:hint="default" w:eastAsiaTheme="minorEastAsia"/>
                                      <w:lang w:val="en-US" w:eastAsia="zh-CN"/>
                                    </w:rPr>
                                  </w:pPr>
                                  <w:r>
                                    <w:rPr>
                                      <w:rFonts w:hint="eastAsia"/>
                                      <w:lang w:val="en-US" w:eastAsia="zh-CN"/>
                                    </w:rPr>
                                    <w:t>本项目范围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pt;margin-top:288.5pt;height:27.7pt;width:79.6pt;z-index:251662336;mso-width-relative:page;mso-height-relative:page;" filled="f" stroked="f" coordsize="21600,21600" o:gfxdata="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Asnr/9wAAAALAQAADwAAAAAA&#10;AAABACAAAAAiAAAAZHJzL2Rvd25yZXYueG1sUEsBAhQAFAAAAAgAh07iQNkuKU1IAgAAdAQAAA4A&#10;AAAAAAAAAQAgAAAAKwEAAGRycy9lMm9Eb2MueG1sUEsFBgAAAAAGAAYAWQEAAOUFAAAAAA==&#10;">
                      <v:fill on="f" focussize="0,0"/>
                      <v:stroke on="f" weight="0.5pt"/>
                      <v:imagedata o:title=""/>
                      <o:lock v:ext="edit" aspectratio="f"/>
                      <v:textbox>
                        <w:txbxContent>
                          <w:p w14:paraId="524871BF">
                            <w:pPr>
                              <w:rPr>
                                <w:rFonts w:hint="default" w:eastAsiaTheme="minorEastAsia"/>
                                <w:lang w:val="en-US" w:eastAsia="zh-CN"/>
                              </w:rPr>
                            </w:pPr>
                            <w:r>
                              <w:rPr>
                                <w:rFonts w:hint="eastAsia"/>
                                <w:lang w:val="en-US" w:eastAsia="zh-CN"/>
                              </w:rPr>
                              <w:t>本项目范围</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3512820</wp:posOffset>
                      </wp:positionH>
                      <wp:positionV relativeFrom="paragraph">
                        <wp:posOffset>3729990</wp:posOffset>
                      </wp:positionV>
                      <wp:extent cx="374015" cy="198120"/>
                      <wp:effectExtent l="12700" t="12700" r="13335" b="17780"/>
                      <wp:wrapNone/>
                      <wp:docPr id="62" name="矩形 62"/>
                      <wp:cNvGraphicFramePr/>
                      <a:graphic xmlns:a="http://schemas.openxmlformats.org/drawingml/2006/main">
                        <a:graphicData uri="http://schemas.microsoft.com/office/word/2010/wordprocessingShape">
                          <wps:wsp>
                            <wps:cNvSpPr/>
                            <wps:spPr>
                              <a:xfrm>
                                <a:off x="4571365" y="4947920"/>
                                <a:ext cx="374015" cy="19812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6.6pt;margin-top:293.7pt;height:15.6pt;width:29.45pt;z-index:251661312;v-text-anchor:middle;mso-width-relative:page;mso-height-relative:page;" filled="f" stroked="t" coordsize="21600,21600" o:gfxdata="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FUZx52QAAAAsBAAAPAAAAAAAAAAEAIAAAACIAAABkcnMvZG93bnJldi54&#10;bWxQSwECFAAUAAAACACHTuJAK3bpg2sCAADBBAAADgAAAAAAAAABACAAAAAoAQAAZHJzL2Uyb0Rv&#10;Yy54bWxQSwUGAAAAAAYABgBZAQAABQYAAAAA&#10;">
                      <v:fill on="f" focussize="0,0"/>
                      <v:stroke weight="2pt" color="#FF0000 [2404]" joinstyle="round"/>
                      <v:imagedata o:title=""/>
                      <o:lock v:ext="edit" aspectratio="f"/>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3395980</wp:posOffset>
                      </wp:positionH>
                      <wp:positionV relativeFrom="paragraph">
                        <wp:posOffset>3385820</wp:posOffset>
                      </wp:positionV>
                      <wp:extent cx="1816735" cy="1421130"/>
                      <wp:effectExtent l="4445" t="4445" r="7620" b="22225"/>
                      <wp:wrapNone/>
                      <wp:docPr id="64" name="文本框 64"/>
                      <wp:cNvGraphicFramePr/>
                      <a:graphic xmlns:a="http://schemas.openxmlformats.org/drawingml/2006/main">
                        <a:graphicData uri="http://schemas.microsoft.com/office/word/2010/wordprocessingShape">
                          <wps:wsp>
                            <wps:cNvSpPr txBox="1"/>
                            <wps:spPr>
                              <a:xfrm>
                                <a:off x="4454525" y="4603750"/>
                                <a:ext cx="1816735" cy="14211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8B1139">
                                  <w:pPr>
                                    <w:rPr>
                                      <w:rFonts w:hint="eastAsia"/>
                                      <w:lang w:val="en-US" w:eastAsia="zh-CN"/>
                                    </w:rPr>
                                  </w:pPr>
                                  <w:r>
                                    <w:rPr>
                                      <w:rFonts w:hint="eastAsia"/>
                                      <w:lang w:val="en-US" w:eastAsia="zh-CN"/>
                                    </w:rPr>
                                    <w:t>图例：</w:t>
                                  </w:r>
                                </w:p>
                                <w:p w14:paraId="7CD04A6E">
                                  <w:pPr>
                                    <w:pStyle w:val="5"/>
                                    <w:ind w:left="0" w:leftChars="0" w:firstLine="0" w:firstLineChars="0"/>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4pt;margin-top:266.6pt;height:111.9pt;width:143.05pt;z-index:251660288;mso-width-relative:page;mso-height-relative:page;" fillcolor="#FFFFFF [3201]" filled="t" stroked="t" coordsize="21600,21600" o:gfxdata="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SPR+7YAAAACwEAAA8AAAAAAAAAAQAgAAAAIgAAAGRycy9kb3ducmV2LnhtbFBLAQIU&#10;ABQAAAAIAIdO4kCeTj5fZQIAAMYEAAAOAAAAAAAAAAEAIAAAACcBAABkcnMvZTJvRG9jLnhtbFBL&#10;BQYAAAAABgAGAFkBAAD+BQAAAAA=&#10;">
                      <v:fill on="t" focussize="0,0"/>
                      <v:stroke weight="0.5pt" color="#000000 [3204]" joinstyle="round"/>
                      <v:imagedata o:title=""/>
                      <o:lock v:ext="edit" aspectratio="f"/>
                      <v:textbox>
                        <w:txbxContent>
                          <w:p w14:paraId="3B8B1139">
                            <w:pPr>
                              <w:rPr>
                                <w:rFonts w:hint="eastAsia"/>
                                <w:lang w:val="en-US" w:eastAsia="zh-CN"/>
                              </w:rPr>
                            </w:pPr>
                            <w:r>
                              <w:rPr>
                                <w:rFonts w:hint="eastAsia"/>
                                <w:lang w:val="en-US" w:eastAsia="zh-CN"/>
                              </w:rPr>
                              <w:t>图例：</w:t>
                            </w:r>
                          </w:p>
                          <w:p w14:paraId="7CD04A6E">
                            <w:pPr>
                              <w:pStyle w:val="5"/>
                              <w:ind w:left="0" w:leftChars="0" w:firstLine="0" w:firstLineChars="0"/>
                              <w:rPr>
                                <w:rFonts w:hint="eastAsia"/>
                                <w:lang w:val="en-US" w:eastAsia="zh-CN"/>
                              </w:rPr>
                            </w:pPr>
                          </w:p>
                        </w:txbxContent>
                      </v:textbox>
                    </v:shape>
                  </w:pict>
                </mc:Fallback>
              </mc:AlternateContent>
            </w:r>
            <w:r>
              <w:drawing>
                <wp:inline distT="0" distB="0" distL="114300" distR="114300">
                  <wp:extent cx="5005070" cy="4750435"/>
                  <wp:effectExtent l="0" t="0" r="5080" b="12065"/>
                  <wp:docPr id="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pic:cNvPicPr>
                            <a:picLocks noChangeAspect="1"/>
                          </pic:cNvPicPr>
                        </pic:nvPicPr>
                        <pic:blipFill>
                          <a:blip r:embed="rId8"/>
                          <a:stretch>
                            <a:fillRect/>
                          </a:stretch>
                        </pic:blipFill>
                        <pic:spPr>
                          <a:xfrm>
                            <a:off x="0" y="0"/>
                            <a:ext cx="5005070" cy="4750435"/>
                          </a:xfrm>
                          <a:prstGeom prst="rect">
                            <a:avLst/>
                          </a:prstGeom>
                          <a:noFill/>
                          <a:ln>
                            <a:noFill/>
                          </a:ln>
                        </pic:spPr>
                      </pic:pic>
                    </a:graphicData>
                  </a:graphic>
                </wp:inline>
              </w:drawing>
            </w:r>
          </w:p>
          <w:p w14:paraId="75E85FFE">
            <w:pPr>
              <w:pStyle w:val="5"/>
              <w:jc w:val="center"/>
              <w:rPr>
                <w:rFonts w:hint="default" w:ascii="Times New Roman" w:hAnsi="Times New Roman" w:cs="Times New Roman" w:eastAsiaTheme="minorEastAsia"/>
                <w:kern w:val="2"/>
                <w:sz w:val="21"/>
                <w:szCs w:val="22"/>
                <w:highlight w:val="none"/>
                <w:lang w:val="en-US" w:eastAsia="zh-CN" w:bidi="ar-SA"/>
              </w:rPr>
            </w:pPr>
            <w:r>
              <w:rPr>
                <w:rFonts w:hint="eastAsia" w:ascii="Times New Roman" w:hAnsi="Times New Roman" w:cs="Times New Roman" w:eastAsiaTheme="minorEastAsia"/>
                <w:kern w:val="2"/>
                <w:sz w:val="21"/>
                <w:szCs w:val="22"/>
                <w:highlight w:val="none"/>
                <w:lang w:val="en-US" w:eastAsia="zh-CN" w:bidi="ar-SA"/>
              </w:rPr>
              <w:t>图2-2 本项目周边环境示意图</w:t>
            </w:r>
          </w:p>
          <w:p w14:paraId="609A20AB">
            <w:pPr>
              <w:numPr>
                <w:ilvl w:val="0"/>
                <w:numId w:val="0"/>
              </w:numPr>
              <w:spacing w:line="360" w:lineRule="auto"/>
              <w:ind w:leftChars="0" w:firstLine="480" w:firstLineChars="200"/>
              <w:jc w:val="left"/>
              <w:rPr>
                <w:rFonts w:hint="eastAsia" w:ascii="Times New Roman" w:hAnsi="Times New Roman" w:cs="Times New Roman"/>
                <w:sz w:val="24"/>
                <w:highlight w:val="none"/>
                <w:lang w:val="en-US" w:eastAsia="zh-CN"/>
              </w:rPr>
            </w:pPr>
            <w:r>
              <w:rPr>
                <w:rFonts w:hint="eastAsia" w:ascii="Times New Roman" w:hAnsi="Times New Roman" w:cs="Times New Roman"/>
                <w:sz w:val="24"/>
                <w:highlight w:val="none"/>
                <w:lang w:val="en-US" w:eastAsia="zh-CN"/>
              </w:rPr>
              <w:t>2、厂区平面布局</w:t>
            </w:r>
          </w:p>
          <w:p w14:paraId="5000A2EA">
            <w:pPr>
              <w:pStyle w:val="5"/>
              <w:ind w:left="0" w:leftChars="0" w:firstLine="0" w:firstLineChars="0"/>
              <w:rPr>
                <w:rFonts w:hint="eastAsia" w:ascii="Times New Roman" w:hAnsi="Times New Roman" w:cs="Times New Roman"/>
                <w:sz w:val="24"/>
                <w:highlight w:val="none"/>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3818890</wp:posOffset>
                      </wp:positionH>
                      <wp:positionV relativeFrom="paragraph">
                        <wp:posOffset>1750695</wp:posOffset>
                      </wp:positionV>
                      <wp:extent cx="784225" cy="498475"/>
                      <wp:effectExtent l="0" t="0" r="0" b="0"/>
                      <wp:wrapNone/>
                      <wp:docPr id="66" name="文本框 66"/>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41786">
                                  <w:pPr>
                                    <w:rPr>
                                      <w:rFonts w:hint="default" w:eastAsiaTheme="minorEastAsia"/>
                                      <w:color w:val="FF0000"/>
                                      <w:lang w:val="en-US" w:eastAsia="zh-CN"/>
                                    </w:rPr>
                                  </w:pPr>
                                  <w:r>
                                    <w:rPr>
                                      <w:rFonts w:hint="eastAsia"/>
                                      <w:color w:val="FF0000"/>
                                      <w:lang w:val="en-US" w:eastAsia="zh-CN"/>
                                    </w:rPr>
                                    <w:t>质检楼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0.7pt;margin-top:137.85pt;height:39.25pt;width:61.75pt;rotation:917504f;z-index:251678720;mso-width-relative:page;mso-height-relative:page;" filled="f" stroked="f" coordsize="21600,21600" o:gfxdata="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V5CzU1wAAAAsBAAAPAAAAAAAAAAEAIAAAACIA&#10;AABkcnMvZG93bnJldi54bWxQSwECFAAUAAAACACHTuJAzFV+k0MCAAB0BAAADgAAAAAAAAABACAA&#10;AAAmAQAAZHJzL2Uyb0RvYy54bWxQSwUGAAAAAAYABgBZAQAA2wUAAAAA&#10;">
                      <v:fill on="f" focussize="0,0"/>
                      <v:stroke on="f" weight="0.5pt"/>
                      <v:imagedata o:title=""/>
                      <o:lock v:ext="edit" aspectratio="f"/>
                      <v:textbox>
                        <w:txbxContent>
                          <w:p w14:paraId="02441786">
                            <w:pPr>
                              <w:rPr>
                                <w:rFonts w:hint="default" w:eastAsiaTheme="minorEastAsia"/>
                                <w:color w:val="FF0000"/>
                                <w:lang w:val="en-US" w:eastAsia="zh-CN"/>
                              </w:rPr>
                            </w:pPr>
                            <w:r>
                              <w:rPr>
                                <w:rFonts w:hint="eastAsia"/>
                                <w:color w:val="FF0000"/>
                                <w:lang w:val="en-US" w:eastAsia="zh-CN"/>
                              </w:rPr>
                              <w:t>质检楼</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2707005</wp:posOffset>
                      </wp:positionH>
                      <wp:positionV relativeFrom="paragraph">
                        <wp:posOffset>6177280</wp:posOffset>
                      </wp:positionV>
                      <wp:extent cx="784225" cy="498475"/>
                      <wp:effectExtent l="0" t="0" r="0" b="0"/>
                      <wp:wrapNone/>
                      <wp:docPr id="67" name="文本框 67"/>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346EC">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3.15pt;margin-top:486.4pt;height:39.25pt;width:61.75pt;rotation:917504f;z-index:251668480;mso-width-relative:page;mso-height-relative:page;" filled="f" stroked="f" coordsize="21600,21600" o:gfxdata="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HRHT22AAAAAwBAAAPAAAAAAAAAAEAIAAAACIA&#10;AABkcnMvZG93bnJldi54bWxQSwECFAAUAAAACACHTuJA6h0L6kICAAB0BAAADgAAAAAAAAABACAA&#10;AAAnAQAAZHJzL2Uyb0RvYy54bWxQSwUGAAAAAAYABgBZAQAA2wUAAAAA&#10;">
                      <v:fill on="f" focussize="0,0"/>
                      <v:stroke on="f" weight="0.5pt"/>
                      <v:imagedata o:title=""/>
                      <o:lock v:ext="edit" aspectratio="f"/>
                      <v:textbox>
                        <w:txbxContent>
                          <w:p w14:paraId="3BA346EC">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2934335</wp:posOffset>
                      </wp:positionH>
                      <wp:positionV relativeFrom="paragraph">
                        <wp:posOffset>5526405</wp:posOffset>
                      </wp:positionV>
                      <wp:extent cx="784225" cy="498475"/>
                      <wp:effectExtent l="0" t="0" r="0" b="0"/>
                      <wp:wrapNone/>
                      <wp:docPr id="68" name="文本框 68"/>
                      <wp:cNvGraphicFramePr/>
                      <a:graphic xmlns:a="http://schemas.openxmlformats.org/drawingml/2006/main">
                        <a:graphicData uri="http://schemas.microsoft.com/office/word/2010/wordprocessingShape">
                          <wps:wsp>
                            <wps:cNvSpPr txBox="1"/>
                            <wps:spPr>
                              <a:xfrm rot="840000">
                                <a:off x="4065905" y="6542405"/>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778CF">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1.05pt;margin-top:435.15pt;height:39.25pt;width:61.75pt;rotation:917504f;z-index:251667456;mso-width-relative:page;mso-height-relative:page;" filled="f" stroked="f" coordsize="21600,21600" o:gfxdata="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AEyPqtcAAAALAQAADwAAAAAA&#10;AAABACAAAAAiAAAAZHJzL2Rvd25yZXYueG1sUEsBAhQAFAAAAAgAh07iQNZsDppNAgAAgAQAAA4A&#10;AAAAAAAAAQAgAAAAJgEAAGRycy9lMm9Eb2MueG1sUEsFBgAAAAAGAAYAWQEAAOUFAAAAAA==&#10;">
                      <v:fill on="f" focussize="0,0"/>
                      <v:stroke on="f" weight="0.5pt"/>
                      <v:imagedata o:title=""/>
                      <o:lock v:ext="edit" aspectratio="f"/>
                      <v:textbox>
                        <w:txbxContent>
                          <w:p w14:paraId="0F3778CF">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3909060</wp:posOffset>
                      </wp:positionH>
                      <wp:positionV relativeFrom="paragraph">
                        <wp:posOffset>4768850</wp:posOffset>
                      </wp:positionV>
                      <wp:extent cx="1200785" cy="498475"/>
                      <wp:effectExtent l="0" t="0" r="0" b="0"/>
                      <wp:wrapNone/>
                      <wp:docPr id="69" name="文本框 69"/>
                      <wp:cNvGraphicFramePr/>
                      <a:graphic xmlns:a="http://schemas.openxmlformats.org/drawingml/2006/main">
                        <a:graphicData uri="http://schemas.microsoft.com/office/word/2010/wordprocessingShape">
                          <wps:wsp>
                            <wps:cNvSpPr txBox="1"/>
                            <wps:spPr>
                              <a:xfrm rot="840000">
                                <a:off x="0" y="0"/>
                                <a:ext cx="120078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DC08B">
                                  <w:pPr>
                                    <w:rPr>
                                      <w:rFonts w:hint="default" w:eastAsiaTheme="minorEastAsia"/>
                                      <w:color w:val="FF0000"/>
                                      <w:lang w:val="en-US" w:eastAsia="zh-CN"/>
                                    </w:rPr>
                                  </w:pPr>
                                  <w:r>
                                    <w:rPr>
                                      <w:rFonts w:hint="eastAsia"/>
                                      <w:color w:val="FF0000"/>
                                      <w:lang w:val="en-US" w:eastAsia="zh-CN"/>
                                    </w:rPr>
                                    <w:t>三厂危废暂存间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8pt;margin-top:375.5pt;height:39.25pt;width:94.55pt;rotation:917504f;z-index:251675648;mso-width-relative:page;mso-height-relative:page;" filled="f" stroked="f" coordsize="21600,21600" o:gfxdata="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M6J9/XAAAACwEAAA8AAAAAAAAAAQAgAAAAIgAA&#10;AGRycy9kb3ducmV2LnhtbFBLAQIUABQAAAAIAIdO4kAZyP5xQgIAAHUEAAAOAAAAAAAAAAEAIAAA&#10;ACYBAABkcnMvZTJvRG9jLnhtbFBLBQYAAAAABgAGAFkBAADaBQAAAAA=&#10;">
                      <v:fill on="f" focussize="0,0"/>
                      <v:stroke on="f" weight="0.5pt"/>
                      <v:imagedata o:title=""/>
                      <o:lock v:ext="edit" aspectratio="f"/>
                      <v:textbox>
                        <w:txbxContent>
                          <w:p w14:paraId="7AADC08B">
                            <w:pPr>
                              <w:rPr>
                                <w:rFonts w:hint="default" w:eastAsiaTheme="minorEastAsia"/>
                                <w:color w:val="FF0000"/>
                                <w:lang w:val="en-US" w:eastAsia="zh-CN"/>
                              </w:rPr>
                            </w:pPr>
                            <w:r>
                              <w:rPr>
                                <w:rFonts w:hint="eastAsia"/>
                                <w:color w:val="FF0000"/>
                                <w:lang w:val="en-US" w:eastAsia="zh-CN"/>
                              </w:rPr>
                              <w:t>三厂危废暂存间</w:t>
                            </w:r>
                          </w:p>
                        </w:txbxContent>
                      </v:textbox>
                    </v:shap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3794125</wp:posOffset>
                      </wp:positionH>
                      <wp:positionV relativeFrom="paragraph">
                        <wp:posOffset>1033145</wp:posOffset>
                      </wp:positionV>
                      <wp:extent cx="1090295" cy="498475"/>
                      <wp:effectExtent l="0" t="0" r="0" b="0"/>
                      <wp:wrapNone/>
                      <wp:docPr id="70" name="文本框 70"/>
                      <wp:cNvGraphicFramePr/>
                      <a:graphic xmlns:a="http://schemas.openxmlformats.org/drawingml/2006/main">
                        <a:graphicData uri="http://schemas.microsoft.com/office/word/2010/wordprocessingShape">
                          <wps:wsp>
                            <wps:cNvSpPr txBox="1"/>
                            <wps:spPr>
                              <a:xfrm rot="840000">
                                <a:off x="0" y="0"/>
                                <a:ext cx="109029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D6F27">
                                  <w:pPr>
                                    <w:rPr>
                                      <w:rFonts w:hint="default" w:eastAsiaTheme="minorEastAsia"/>
                                      <w:color w:val="FF0000"/>
                                      <w:lang w:val="en-US" w:eastAsia="zh-CN"/>
                                    </w:rPr>
                                  </w:pPr>
                                  <w:r>
                                    <w:rPr>
                                      <w:rFonts w:hint="eastAsia"/>
                                      <w:color w:val="FF0000"/>
                                      <w:lang w:val="en-US" w:eastAsia="zh-CN"/>
                                    </w:rPr>
                                    <w:t>污水排放口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75pt;margin-top:81.35pt;height:39.25pt;width:85.85pt;rotation:917504f;z-index:251677696;mso-width-relative:page;mso-height-relative:page;" filled="f" stroked="f" coordsize="21600,21600" o:gfxdata="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TVBvPWAAAACwEAAA8AAAAAAAAAAQAgAAAAIgAA&#10;AGRycy9kb3ducmV2LnhtbFBLAQIUABQAAAAIAIdO4kCwVTIxQwIAAHUEAAAOAAAAAAAAAAEAIAAA&#10;ACUBAABkcnMvZTJvRG9jLnhtbFBLBQYAAAAABgAGAFkBAADaBQAAAAA=&#10;">
                      <v:fill on="f" focussize="0,0"/>
                      <v:stroke on="f" weight="0.5pt"/>
                      <v:imagedata o:title=""/>
                      <o:lock v:ext="edit" aspectratio="f"/>
                      <v:textbox>
                        <w:txbxContent>
                          <w:p w14:paraId="27ED6F27">
                            <w:pPr>
                              <w:rPr>
                                <w:rFonts w:hint="default" w:eastAsiaTheme="minorEastAsia"/>
                                <w:color w:val="FF0000"/>
                                <w:lang w:val="en-US" w:eastAsia="zh-CN"/>
                              </w:rPr>
                            </w:pPr>
                            <w:r>
                              <w:rPr>
                                <w:rFonts w:hint="eastAsia"/>
                                <w:color w:val="FF0000"/>
                                <w:lang w:val="en-US" w:eastAsia="zh-CN"/>
                              </w:rPr>
                              <w:t>污水排放口</w:t>
                            </w:r>
                          </w:p>
                        </w:txbxContent>
                      </v:textbox>
                    </v:shape>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4433570</wp:posOffset>
                      </wp:positionH>
                      <wp:positionV relativeFrom="paragraph">
                        <wp:posOffset>1289685</wp:posOffset>
                      </wp:positionV>
                      <wp:extent cx="1090295" cy="498475"/>
                      <wp:effectExtent l="0" t="0" r="0" b="0"/>
                      <wp:wrapNone/>
                      <wp:docPr id="71" name="文本框 71"/>
                      <wp:cNvGraphicFramePr/>
                      <a:graphic xmlns:a="http://schemas.openxmlformats.org/drawingml/2006/main">
                        <a:graphicData uri="http://schemas.microsoft.com/office/word/2010/wordprocessingShape">
                          <wps:wsp>
                            <wps:cNvSpPr txBox="1"/>
                            <wps:spPr>
                              <a:xfrm rot="840000">
                                <a:off x="0" y="0"/>
                                <a:ext cx="109029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3D753">
                                  <w:pPr>
                                    <w:rPr>
                                      <w:rFonts w:hint="default" w:eastAsiaTheme="minorEastAsia"/>
                                      <w:color w:val="FF0000"/>
                                      <w:lang w:val="en-US" w:eastAsia="zh-CN"/>
                                    </w:rPr>
                                  </w:pPr>
                                  <w:r>
                                    <w:rPr>
                                      <w:rFonts w:hint="eastAsia"/>
                                      <w:color w:val="FF0000"/>
                                      <w:lang w:val="en-US" w:eastAsia="zh-CN"/>
                                    </w:rPr>
                                    <w:t>雨水排口1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9.1pt;margin-top:101.55pt;height:39.25pt;width:85.85pt;rotation:917504f;z-index:251676672;mso-width-relative:page;mso-height-relative:page;" filled="f" stroked="f" coordsize="21600,21600" o:gfxdata="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6OI3E1gAAAAsBAAAPAAAAAAAAAAEAIAAAACIA&#10;AABkcnMvZG93bnJldi54bWxQSwECFAAUAAAACACHTuJABaVG40QCAAB1BAAADgAAAAAAAAABACAA&#10;AAAlAQAAZHJzL2Uyb0RvYy54bWxQSwUGAAAAAAYABgBZAQAA2wUAAAAA&#10;">
                      <v:fill on="f" focussize="0,0"/>
                      <v:stroke on="f" weight="0.5pt"/>
                      <v:imagedata o:title=""/>
                      <o:lock v:ext="edit" aspectratio="f"/>
                      <v:textbox>
                        <w:txbxContent>
                          <w:p w14:paraId="5373D753">
                            <w:pPr>
                              <w:rPr>
                                <w:rFonts w:hint="default" w:eastAsiaTheme="minorEastAsia"/>
                                <w:color w:val="FF0000"/>
                                <w:lang w:val="en-US" w:eastAsia="zh-CN"/>
                              </w:rPr>
                            </w:pPr>
                            <w:r>
                              <w:rPr>
                                <w:rFonts w:hint="eastAsia"/>
                                <w:color w:val="FF0000"/>
                                <w:lang w:val="en-US" w:eastAsia="zh-CN"/>
                              </w:rPr>
                              <w:t>雨水排口1</w:t>
                            </w:r>
                          </w:p>
                        </w:txbxContent>
                      </v:textbox>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1370330</wp:posOffset>
                      </wp:positionH>
                      <wp:positionV relativeFrom="paragraph">
                        <wp:posOffset>7207250</wp:posOffset>
                      </wp:positionV>
                      <wp:extent cx="987425" cy="498475"/>
                      <wp:effectExtent l="0" t="0" r="0" b="0"/>
                      <wp:wrapNone/>
                      <wp:docPr id="72" name="文本框 72"/>
                      <wp:cNvGraphicFramePr/>
                      <a:graphic xmlns:a="http://schemas.openxmlformats.org/drawingml/2006/main">
                        <a:graphicData uri="http://schemas.microsoft.com/office/word/2010/wordprocessingShape">
                          <wps:wsp>
                            <wps:cNvSpPr txBox="1"/>
                            <wps:spPr>
                              <a:xfrm rot="840000">
                                <a:off x="0" y="0"/>
                                <a:ext cx="9874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F7758">
                                  <w:pPr>
                                    <w:rPr>
                                      <w:rFonts w:hint="default" w:eastAsiaTheme="minorEastAsia"/>
                                      <w:color w:val="FF0000"/>
                                      <w:lang w:val="en-US" w:eastAsia="zh-CN"/>
                                    </w:rPr>
                                  </w:pPr>
                                  <w:r>
                                    <w:rPr>
                                      <w:rFonts w:hint="eastAsia"/>
                                      <w:color w:val="FF0000"/>
                                      <w:lang w:val="en-US" w:eastAsia="zh-CN"/>
                                    </w:rPr>
                                    <w:t>雨水排口2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9pt;margin-top:567.5pt;height:39.25pt;width:77.75pt;rotation:917504f;z-index:251674624;mso-width-relative:page;mso-height-relative:page;" filled="f" stroked="f" coordsize="21600,21600" o:gfxdata="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SpVAg1wAAAA0BAAAPAAAAAAAAAAEAIAAAACIA&#10;AABkcnMvZG93bnJldi54bWxQSwECFAAUAAAACACHTuJA7uvlRUMCAAB0BAAADgAAAAAAAAABACAA&#10;AAAmAQAAZHJzL2Uyb0RvYy54bWxQSwUGAAAAAAYABgBZAQAA2wUAAAAA&#10;">
                      <v:fill on="f" focussize="0,0"/>
                      <v:stroke on="f" weight="0.5pt"/>
                      <v:imagedata o:title=""/>
                      <o:lock v:ext="edit" aspectratio="f"/>
                      <v:textbox>
                        <w:txbxContent>
                          <w:p w14:paraId="644F7758">
                            <w:pPr>
                              <w:rPr>
                                <w:rFonts w:hint="default" w:eastAsiaTheme="minorEastAsia"/>
                                <w:color w:val="FF0000"/>
                                <w:lang w:val="en-US" w:eastAsia="zh-CN"/>
                              </w:rPr>
                            </w:pPr>
                            <w:r>
                              <w:rPr>
                                <w:rFonts w:hint="eastAsia"/>
                                <w:color w:val="FF0000"/>
                                <w:lang w:val="en-US" w:eastAsia="zh-CN"/>
                              </w:rPr>
                              <w:t>雨水排口2</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2376805</wp:posOffset>
                      </wp:positionH>
                      <wp:positionV relativeFrom="paragraph">
                        <wp:posOffset>1341755</wp:posOffset>
                      </wp:positionV>
                      <wp:extent cx="784225" cy="498475"/>
                      <wp:effectExtent l="0" t="0" r="0" b="0"/>
                      <wp:wrapNone/>
                      <wp:docPr id="73" name="文本框 73"/>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DA2924">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15pt;margin-top:105.65pt;height:39.25pt;width:61.75pt;rotation:917504f;z-index:251673600;mso-width-relative:page;mso-height-relative:page;" filled="f" stroked="f" coordsize="21600,21600" o:gfxdata="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go/tcAAAALAQAADwAAAAAAAAABACAAAAAi&#10;AAAAZHJzL2Rvd25yZXYueG1sUEsBAhQAFAAAAAgAh07iQIbL2wZEAgAAdAQAAA4AAAAAAAAAAQAg&#10;AAAAJgEAAGRycy9lMm9Eb2MueG1sUEsFBgAAAAAGAAYAWQEAANwFAAAAAA==&#10;">
                      <v:fill on="f" focussize="0,0"/>
                      <v:stroke on="f" weight="0.5pt"/>
                      <v:imagedata o:title=""/>
                      <o:lock v:ext="edit" aspectratio="f"/>
                      <v:textbox>
                        <w:txbxContent>
                          <w:p w14:paraId="67DA2924">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1987550</wp:posOffset>
                      </wp:positionH>
                      <wp:positionV relativeFrom="paragraph">
                        <wp:posOffset>2293620</wp:posOffset>
                      </wp:positionV>
                      <wp:extent cx="784225" cy="498475"/>
                      <wp:effectExtent l="0" t="0" r="0" b="0"/>
                      <wp:wrapNone/>
                      <wp:docPr id="74" name="文本框 74"/>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6E4FCD">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6.5pt;margin-top:180.6pt;height:39.25pt;width:61.75pt;rotation:917504f;z-index:251672576;mso-width-relative:page;mso-height-relative:page;" filled="f" stroked="f" coordsize="21600,21600" o:gfxdata="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pDk1t1wAAAAsBAAAPAAAAAAAAAAEAIAAAACIA&#10;AABkcnMvZG93bnJldi54bWxQSwECFAAUAAAACACHTuJANTXgs0MCAAB0BAAADgAAAAAAAAABACAA&#10;AAAmAQAAZHJzL2Uyb0RvYy54bWxQSwUGAAAAAAYABgBZAQAA2wUAAAAA&#10;">
                      <v:fill on="f" focussize="0,0"/>
                      <v:stroke on="f" weight="0.5pt"/>
                      <v:imagedata o:title=""/>
                      <o:lock v:ext="edit" aspectratio="f"/>
                      <v:textbox>
                        <w:txbxContent>
                          <w:p w14:paraId="6F6E4FCD">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1783080</wp:posOffset>
                      </wp:positionH>
                      <wp:positionV relativeFrom="paragraph">
                        <wp:posOffset>3458210</wp:posOffset>
                      </wp:positionV>
                      <wp:extent cx="784225" cy="498475"/>
                      <wp:effectExtent l="0" t="0" r="0" b="0"/>
                      <wp:wrapNone/>
                      <wp:docPr id="75" name="文本框 75"/>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BF755">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4pt;margin-top:272.3pt;height:39.25pt;width:61.75pt;rotation:917504f;z-index:251671552;mso-width-relative:page;mso-height-relative:page;" filled="f" stroked="f" coordsize="21600,21600" o:gfxdata="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s4LpbWAAAACwEAAA8AAAAAAAAAAQAgAAAAIgAA&#10;AGRycy9kb3ducmV2LnhtbFBLAQIUABQAAAAIAIdO4kATfZXKQwIAAHQEAAAOAAAAAAAAAAEAIAAA&#10;ACUBAABkcnMvZTJvRG9jLnhtbFBLBQYAAAAABgAGAFkBAADaBQAAAAA=&#10;">
                      <v:fill on="f" focussize="0,0"/>
                      <v:stroke on="f" weight="0.5pt"/>
                      <v:imagedata o:title=""/>
                      <o:lock v:ext="edit" aspectratio="f"/>
                      <v:textbox>
                        <w:txbxContent>
                          <w:p w14:paraId="578BF755">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727710</wp:posOffset>
                      </wp:positionH>
                      <wp:positionV relativeFrom="paragraph">
                        <wp:posOffset>5187950</wp:posOffset>
                      </wp:positionV>
                      <wp:extent cx="784225" cy="498475"/>
                      <wp:effectExtent l="0" t="0" r="0" b="0"/>
                      <wp:wrapNone/>
                      <wp:docPr id="76" name="文本框 76"/>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FAEA90">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3pt;margin-top:408.5pt;height:39.25pt;width:61.75pt;rotation:917504f;z-index:251670528;mso-width-relative:page;mso-height-relative:page;" filled="f" stroked="f" coordsize="21600,21600" o:gfxdata="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B3oJ1wAAAAsBAAAPAAAAAAAAAAEAIAAAACIA&#10;AABkcnMvZG93bnJldi54bWxQSwECFAAUAAAACACHTuJAeaUKQUMCAAB0BAAADgAAAAAAAAABACAA&#10;AAAmAQAAZHJzL2Uyb0RvYy54bWxQSwUGAAAAAAYABgBZAQAA2wUAAAAA&#10;">
                      <v:fill on="f" focussize="0,0"/>
                      <v:stroke on="f" weight="0.5pt"/>
                      <v:imagedata o:title=""/>
                      <o:lock v:ext="edit" aspectratio="f"/>
                      <v:textbox>
                        <w:txbxContent>
                          <w:p w14:paraId="2EFAEA90">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1892300</wp:posOffset>
                      </wp:positionH>
                      <wp:positionV relativeFrom="paragraph">
                        <wp:posOffset>5305425</wp:posOffset>
                      </wp:positionV>
                      <wp:extent cx="784225" cy="498475"/>
                      <wp:effectExtent l="0" t="0" r="0" b="0"/>
                      <wp:wrapNone/>
                      <wp:docPr id="77" name="文本框 77"/>
                      <wp:cNvGraphicFramePr/>
                      <a:graphic xmlns:a="http://schemas.openxmlformats.org/drawingml/2006/main">
                        <a:graphicData uri="http://schemas.microsoft.com/office/word/2010/wordprocessingShape">
                          <wps:wsp>
                            <wps:cNvSpPr txBox="1"/>
                            <wps:spPr>
                              <a:xfrm rot="840000">
                                <a:off x="0" y="0"/>
                                <a:ext cx="7842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A1055">
                                  <w:pPr>
                                    <w:rPr>
                                      <w:rFonts w:hint="default" w:eastAsiaTheme="minorEastAsia"/>
                                      <w:color w:val="FF0000"/>
                                      <w:lang w:val="en-US" w:eastAsia="zh-CN"/>
                                    </w:rPr>
                                  </w:pPr>
                                  <w:r>
                                    <w:rPr>
                                      <w:rFonts w:hint="eastAsia"/>
                                      <w:color w:val="FF0000"/>
                                      <w:lang w:val="en-US" w:eastAsia="zh-CN"/>
                                    </w:rPr>
                                    <w:t>待建空地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pt;margin-top:417.75pt;height:39.25pt;width:61.75pt;rotation:917504f;z-index:251669504;mso-width-relative:page;mso-height-relative:page;" filled="f" stroked="f" coordsize="21600,21600" o:gfxdata="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Xzq8JtgAAAALAQAADwAAAAAAAAABACAAAAAi&#10;AAAAZHJzL2Rvd25yZXYueG1sUEsBAhQAFAAAAAgAh07iQF/tfzhDAgAAdAQAAA4AAAAAAAAAAQAg&#10;AAAAJwEAAGRycy9lMm9Eb2MueG1sUEsFBgAAAAAGAAYAWQEAANwFAAAAAA==&#10;">
                      <v:fill on="f" focussize="0,0"/>
                      <v:stroke on="f" weight="0.5pt"/>
                      <v:imagedata o:title=""/>
                      <o:lock v:ext="edit" aspectratio="f"/>
                      <v:textbox>
                        <w:txbxContent>
                          <w:p w14:paraId="2BFA1055">
                            <w:pPr>
                              <w:rPr>
                                <w:rFonts w:hint="default" w:eastAsiaTheme="minorEastAsia"/>
                                <w:color w:val="FF0000"/>
                                <w:lang w:val="en-US" w:eastAsia="zh-CN"/>
                              </w:rPr>
                            </w:pPr>
                            <w:r>
                              <w:rPr>
                                <w:rFonts w:hint="eastAsia"/>
                                <w:color w:val="FF0000"/>
                                <w:lang w:val="en-US" w:eastAsia="zh-CN"/>
                              </w:rPr>
                              <w:t>待建空地</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3124835</wp:posOffset>
                      </wp:positionH>
                      <wp:positionV relativeFrom="paragraph">
                        <wp:posOffset>4949825</wp:posOffset>
                      </wp:positionV>
                      <wp:extent cx="586740" cy="446405"/>
                      <wp:effectExtent l="0" t="0" r="0" b="0"/>
                      <wp:wrapNone/>
                      <wp:docPr id="78" name="文本框 78"/>
                      <wp:cNvGraphicFramePr/>
                      <a:graphic xmlns:a="http://schemas.openxmlformats.org/drawingml/2006/main">
                        <a:graphicData uri="http://schemas.microsoft.com/office/word/2010/wordprocessingShape">
                          <wps:wsp>
                            <wps:cNvSpPr txBox="1"/>
                            <wps:spPr>
                              <a:xfrm rot="1020000">
                                <a:off x="4271010" y="6002655"/>
                                <a:ext cx="586740" cy="4464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AAF91">
                                  <w:pPr>
                                    <w:rPr>
                                      <w:rFonts w:hint="eastAsia" w:eastAsiaTheme="minorEastAsia"/>
                                      <w:color w:val="FF0000"/>
                                      <w:lang w:val="en-US" w:eastAsia="zh-CN"/>
                                    </w:rPr>
                                  </w:pPr>
                                  <w:r>
                                    <w:rPr>
                                      <w:rFonts w:hint="eastAsia"/>
                                      <w:color w:val="FF0000"/>
                                      <w:lang w:val="en-US" w:eastAsia="zh-CN"/>
                                    </w:rPr>
                                    <w:t>动力站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6.05pt;margin-top:389.75pt;height:35.15pt;width:46.2pt;rotation:1114112f;z-index:251666432;mso-width-relative:page;mso-height-relative:page;" filled="f" stroked="f" coordsize="21600,21600" o:gfxdata="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9YKmK2AAAAAsBAAAPAAAA&#10;AAAAAAEAIAAAACIAAABkcnMvZG93bnJldi54bWxQSwECFAAUAAAACACHTuJAUE5EUk4CAACBBAAA&#10;DgAAAAAAAAABACAAAAAnAQAAZHJzL2Uyb0RvYy54bWxQSwUGAAAAAAYABgBZAQAA5wUAAAAA&#10;">
                      <v:fill on="f" focussize="0,0"/>
                      <v:stroke on="f" weight="0.5pt"/>
                      <v:imagedata o:title=""/>
                      <o:lock v:ext="edit" aspectratio="f"/>
                      <v:textbox>
                        <w:txbxContent>
                          <w:p w14:paraId="241AAF91">
                            <w:pPr>
                              <w:rPr>
                                <w:rFonts w:hint="eastAsia" w:eastAsiaTheme="minorEastAsia"/>
                                <w:color w:val="FF0000"/>
                                <w:lang w:val="en-US" w:eastAsia="zh-CN"/>
                              </w:rPr>
                            </w:pPr>
                            <w:r>
                              <w:rPr>
                                <w:rFonts w:hint="eastAsia"/>
                                <w:color w:val="FF0000"/>
                                <w:lang w:val="en-US" w:eastAsia="zh-CN"/>
                              </w:rPr>
                              <w:t>动力站</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3637915</wp:posOffset>
                      </wp:positionH>
                      <wp:positionV relativeFrom="paragraph">
                        <wp:posOffset>3507740</wp:posOffset>
                      </wp:positionV>
                      <wp:extent cx="285750" cy="1084580"/>
                      <wp:effectExtent l="0" t="0" r="0" b="0"/>
                      <wp:wrapNone/>
                      <wp:docPr id="79" name="文本框 79"/>
                      <wp:cNvGraphicFramePr/>
                      <a:graphic xmlns:a="http://schemas.openxmlformats.org/drawingml/2006/main">
                        <a:graphicData uri="http://schemas.microsoft.com/office/word/2010/wordprocessingShape">
                          <wps:wsp>
                            <wps:cNvSpPr txBox="1"/>
                            <wps:spPr>
                              <a:xfrm rot="780000">
                                <a:off x="4696460" y="4428490"/>
                                <a:ext cx="285750" cy="10845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CB3AE">
                                  <w:pPr>
                                    <w:rPr>
                                      <w:rFonts w:hint="default" w:eastAsiaTheme="minorEastAsia"/>
                                      <w:color w:val="FF0000"/>
                                      <w:lang w:val="en-US" w:eastAsia="zh-CN"/>
                                    </w:rPr>
                                  </w:pPr>
                                  <w:r>
                                    <w:rPr>
                                      <w:rFonts w:hint="eastAsia"/>
                                      <w:color w:val="FF0000"/>
                                      <w:lang w:val="en-US" w:eastAsia="zh-CN"/>
                                    </w:rPr>
                                    <w:t>生产车间1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45pt;margin-top:276.2pt;height:85.4pt;width:22.5pt;rotation:851968f;z-index:251665408;mso-width-relative:page;mso-height-relative:page;" filled="f" stroked="f" coordsize="21600,21600" o:gfxdata="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HQN9RLYAAAACwEAAA8AAAAA&#10;AAAAAQAgAAAAIgAAAGRycy9kb3ducmV2LnhtbFBLAQIUABQAAAAIAIdO4kAQo0PXTQIAAIEEAAAO&#10;AAAAAAAAAAEAIAAAACcBAABkcnMvZTJvRG9jLnhtbFBLBQYAAAAABgAGAFkBAADmBQAAAAA=&#10;">
                      <v:fill on="f" focussize="0,0"/>
                      <v:stroke on="f" weight="0.5pt"/>
                      <v:imagedata o:title=""/>
                      <o:lock v:ext="edit" aspectratio="f"/>
                      <v:textbox>
                        <w:txbxContent>
                          <w:p w14:paraId="46CCB3AE">
                            <w:pPr>
                              <w:rPr>
                                <w:rFonts w:hint="default" w:eastAsiaTheme="minorEastAsia"/>
                                <w:color w:val="FF0000"/>
                                <w:lang w:val="en-US" w:eastAsia="zh-CN"/>
                              </w:rPr>
                            </w:pPr>
                            <w:r>
                              <w:rPr>
                                <w:rFonts w:hint="eastAsia"/>
                                <w:color w:val="FF0000"/>
                                <w:lang w:val="en-US" w:eastAsia="zh-CN"/>
                              </w:rPr>
                              <w:t>生产车间1</w:t>
                            </w:r>
                          </w:p>
                        </w:txbxContent>
                      </v:textbox>
                    </v:shape>
                  </w:pict>
                </mc:Fallback>
              </mc:AlternateContent>
            </w:r>
            <w:r>
              <w:drawing>
                <wp:inline distT="0" distB="0" distL="114300" distR="114300">
                  <wp:extent cx="5267325" cy="7715250"/>
                  <wp:effectExtent l="0" t="0" r="9525" b="0"/>
                  <wp:docPr id="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9"/>
                          <pic:cNvPicPr>
                            <a:picLocks noChangeAspect="1"/>
                          </pic:cNvPicPr>
                        </pic:nvPicPr>
                        <pic:blipFill>
                          <a:blip r:embed="rId9"/>
                          <a:stretch>
                            <a:fillRect/>
                          </a:stretch>
                        </pic:blipFill>
                        <pic:spPr>
                          <a:xfrm>
                            <a:off x="0" y="0"/>
                            <a:ext cx="5267325" cy="7715250"/>
                          </a:xfrm>
                          <a:prstGeom prst="rect">
                            <a:avLst/>
                          </a:prstGeom>
                          <a:noFill/>
                          <a:ln>
                            <a:noFill/>
                          </a:ln>
                        </pic:spPr>
                      </pic:pic>
                    </a:graphicData>
                  </a:graphic>
                </wp:inline>
              </w:drawing>
            </w:r>
          </w:p>
          <w:p w14:paraId="10657B90">
            <w:pPr>
              <w:pStyle w:val="5"/>
              <w:jc w:val="center"/>
              <w:rPr>
                <w:rFonts w:hint="default" w:ascii="Times New Roman" w:hAnsi="Times New Roman" w:cs="Times New Roman" w:eastAsiaTheme="minorEastAsia"/>
                <w:kern w:val="2"/>
                <w:sz w:val="21"/>
                <w:szCs w:val="22"/>
                <w:highlight w:val="none"/>
                <w:lang w:val="en-US" w:eastAsia="zh-CN" w:bidi="ar-SA"/>
              </w:rPr>
            </w:pPr>
            <w:r>
              <w:rPr>
                <w:rFonts w:hint="eastAsia" w:ascii="Times New Roman" w:hAnsi="Times New Roman" w:cs="Times New Roman" w:eastAsiaTheme="minorEastAsia"/>
                <w:kern w:val="2"/>
                <w:sz w:val="21"/>
                <w:szCs w:val="22"/>
                <w:highlight w:val="none"/>
                <w:lang w:val="en-US" w:eastAsia="zh-CN" w:bidi="ar-SA"/>
              </w:rPr>
              <w:t>图2-3 厂区平面布局图</w:t>
            </w:r>
          </w:p>
          <w:p w14:paraId="3E446B2B">
            <w:pPr>
              <w:pStyle w:val="6"/>
              <w:rPr>
                <w:rFonts w:hint="eastAsia" w:ascii="Times New Roman" w:hAnsi="Times New Roman" w:cs="Times New Roman"/>
                <w:sz w:val="24"/>
                <w:highlight w:val="yellow"/>
                <w:lang w:val="en-US" w:eastAsia="zh-CN"/>
              </w:rPr>
            </w:pPr>
          </w:p>
          <w:p w14:paraId="6C84FD8E">
            <w:pPr>
              <w:rPr>
                <w:rFonts w:hint="eastAsia" w:ascii="Times New Roman" w:hAnsi="Times New Roman" w:cs="Times New Roman"/>
                <w:sz w:val="24"/>
                <w:highlight w:val="yellow"/>
                <w:lang w:val="en-US" w:eastAsia="zh-CN"/>
              </w:rPr>
            </w:pPr>
          </w:p>
          <w:p w14:paraId="086CA67F">
            <w:pPr>
              <w:spacing w:line="360" w:lineRule="auto"/>
              <w:rPr>
                <w:sz w:val="24"/>
                <w:highlight w:val="yellow"/>
              </w:rPr>
            </w:pPr>
          </w:p>
        </w:tc>
      </w:tr>
      <w:tr w14:paraId="5144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787" w:type="dxa"/>
          </w:tcPr>
          <w:p w14:paraId="16858DAB">
            <w:pPr>
              <w:spacing w:line="360" w:lineRule="auto"/>
              <w:jc w:val="left"/>
              <w:rPr>
                <w:sz w:val="24"/>
                <w:szCs w:val="24"/>
                <w:highlight w:val="none"/>
              </w:rPr>
            </w:pPr>
            <w:r>
              <w:rPr>
                <w:rFonts w:hint="eastAsia"/>
                <w:sz w:val="24"/>
                <w:szCs w:val="24"/>
                <w:highlight w:val="none"/>
                <w:lang w:val="en-US" w:eastAsia="zh-CN"/>
              </w:rPr>
              <w:t>工程</w:t>
            </w:r>
            <w:r>
              <w:rPr>
                <w:sz w:val="24"/>
                <w:szCs w:val="24"/>
                <w:highlight w:val="none"/>
              </w:rPr>
              <w:t>建设内容：</w:t>
            </w:r>
          </w:p>
          <w:p w14:paraId="0DBBD2DA">
            <w:pPr>
              <w:adjustRightInd w:val="0"/>
              <w:snapToGrid w:val="0"/>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新建 1 座</w:t>
            </w:r>
            <w:r>
              <w:rPr>
                <w:rFonts w:hint="eastAsia" w:ascii="Times New Roman" w:hAnsi="Times New Roman" w:cs="Times New Roman"/>
                <w:color w:val="000000" w:themeColor="text1"/>
                <w:sz w:val="24"/>
                <w:highlight w:val="none"/>
                <w14:textFill>
                  <w14:solidFill>
                    <w14:schemeClr w14:val="tx1"/>
                  </w14:solidFill>
                </w14:textFill>
              </w:rPr>
              <w:t>甲类</w:t>
            </w:r>
            <w:r>
              <w:rPr>
                <w:rFonts w:hint="default" w:ascii="Times New Roman" w:hAnsi="Times New Roman" w:cs="Times New Roman"/>
                <w:color w:val="000000" w:themeColor="text1"/>
                <w:sz w:val="24"/>
                <w:highlight w:val="none"/>
                <w14:textFill>
                  <w14:solidFill>
                    <w14:schemeClr w14:val="tx1"/>
                  </w14:solidFill>
                </w14:textFill>
              </w:rPr>
              <w:t>化学品库房（原料库，</w:t>
            </w:r>
            <w:r>
              <w:rPr>
                <w:rFonts w:hint="eastAsia" w:ascii="Times New Roman" w:hAnsi="Times New Roman" w:cs="Times New Roman"/>
                <w:color w:val="000000" w:themeColor="text1"/>
                <w:sz w:val="24"/>
                <w:highlight w:val="none"/>
                <w14:textFill>
                  <w14:solidFill>
                    <w14:schemeClr w14:val="tx1"/>
                  </w14:solidFill>
                </w14:textFill>
              </w:rPr>
              <w:t>W2-</w:t>
            </w:r>
            <w:r>
              <w:rPr>
                <w:rFonts w:hint="default" w:ascii="Times New Roman" w:hAnsi="Times New Roman" w:cs="Times New Roman"/>
                <w:color w:val="000000" w:themeColor="text1"/>
                <w:sz w:val="24"/>
                <w:highlight w:val="none"/>
                <w14:textFill>
                  <w14:solidFill>
                    <w14:schemeClr w14:val="tx1"/>
                  </w14:solidFill>
                </w14:textFill>
              </w:rPr>
              <w:t>仓库2），单层，为甲类仓库，库房长度为 26.7m，宽度为11.2m，高度为 9.515m，混凝土框架结构，耐火等级为一级。</w:t>
            </w:r>
          </w:p>
          <w:p w14:paraId="041F80FA">
            <w:pPr>
              <w:adjustRightInd w:val="0"/>
              <w:snapToGrid w:val="0"/>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库房分为四个隔间,分别为甲类库</w:t>
            </w:r>
            <w:r>
              <w:rPr>
                <w:rFonts w:hint="eastAsia"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易制爆化学品间</w:t>
            </w:r>
            <w:r>
              <w:rPr>
                <w:rFonts w:hint="eastAsia"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危废暂存间</w:t>
            </w:r>
            <w:r>
              <w:rPr>
                <w:rFonts w:hint="eastAsia"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药剂间</w:t>
            </w:r>
            <w:r>
              <w:rPr>
                <w:rFonts w:hint="eastAsia" w:ascii="Times New Roman" w:hAnsi="Times New Roman" w:cs="Times New Roman"/>
                <w:color w:val="000000" w:themeColor="text1"/>
                <w:sz w:val="24"/>
                <w:highlight w:val="none"/>
                <w14:textFill>
                  <w14:solidFill>
                    <w14:schemeClr w14:val="tx1"/>
                  </w14:solidFill>
                </w14:textFill>
              </w:rPr>
              <w:t>。各隔间独立设置，分别设置入口。库房地面采用高密度聚乙烯防渗层。各隔间门口设有截流沟和集液坑，各出入口防静电接地球。各隔间设置便携式喷淋洗眼器（不接水电）。</w:t>
            </w:r>
          </w:p>
          <w:p w14:paraId="03376D5B">
            <w:pPr>
              <w:adjustRightInd w:val="0"/>
              <w:snapToGrid w:val="0"/>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整个库区分为两个防火分区，甲类库区为一个防火分区，易制爆化学品间</w:t>
            </w:r>
            <w:r>
              <w:rPr>
                <w:rFonts w:hint="eastAsia" w:ascii="Times New Roman" w:hAnsi="Times New Roman" w:cs="Times New Roman"/>
                <w:color w:val="000000" w:themeColor="text1"/>
                <w:sz w:val="24"/>
                <w:highlight w:val="none"/>
                <w14:textFill>
                  <w14:solidFill>
                    <w14:schemeClr w14:val="tx1"/>
                  </w14:solidFill>
                </w14:textFill>
              </w:rPr>
              <w:t>、药剂间</w:t>
            </w:r>
            <w:r>
              <w:rPr>
                <w:rFonts w:hint="default" w:ascii="Times New Roman" w:hAnsi="Times New Roman" w:cs="Times New Roman"/>
                <w:color w:val="000000" w:themeColor="text1"/>
                <w:sz w:val="24"/>
                <w:highlight w:val="none"/>
                <w14:textFill>
                  <w14:solidFill>
                    <w14:schemeClr w14:val="tx1"/>
                  </w14:solidFill>
                </w14:textFill>
              </w:rPr>
              <w:t>和危废暂存间为一个防火分区, 第一防火分区建筑面积均为 208.2m</w:t>
            </w:r>
            <w:r>
              <w:rPr>
                <w:rFonts w:hint="default" w:ascii="Times New Roman" w:hAnsi="Times New Roman" w:cs="Times New Roman"/>
                <w:color w:val="000000" w:themeColor="text1"/>
                <w:sz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，第二防火分区建筑面积为</w:t>
            </w:r>
            <w:r>
              <w:rPr>
                <w:rFonts w:hint="eastAsia" w:ascii="Times New Roman" w:hAnsi="Times New Roman" w:cs="Times New Roman"/>
                <w:color w:val="000000" w:themeColor="text1"/>
                <w:sz w:val="24"/>
                <w:highlight w:val="none"/>
                <w14:textFill>
                  <w14:solidFill>
                    <w14:schemeClr w14:val="tx1"/>
                  </w14:solidFill>
                </w14:textFill>
              </w:rPr>
              <w:t>90.8</w:t>
            </w:r>
            <w:r>
              <w:rPr>
                <w:rFonts w:hint="default" w:ascii="Times New Roman" w:hAnsi="Times New Roman" w:cs="Times New Roman"/>
                <w:color w:val="000000" w:themeColor="text1"/>
                <w:sz w:val="24"/>
                <w:highlight w:val="none"/>
                <w14:textFill>
                  <w14:solidFill>
                    <w14:schemeClr w14:val="tx1"/>
                  </w14:solidFill>
                </w14:textFill>
              </w:rPr>
              <w:t>m</w:t>
            </w:r>
            <w:r>
              <w:rPr>
                <w:rFonts w:hint="default" w:ascii="Times New Roman" w:hAnsi="Times New Roman" w:cs="Times New Roman"/>
                <w:color w:val="000000" w:themeColor="text1"/>
                <w:sz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。两个防火分区采用配筋砖墙分隔</w:t>
            </w:r>
            <w:r>
              <w:rPr>
                <w:rFonts w:hint="eastAsia" w:ascii="Times New Roman" w:hAnsi="Times New Roman" w:cs="Times New Roman"/>
                <w:color w:val="000000" w:themeColor="text1"/>
                <w:sz w:val="24"/>
                <w:highlight w:val="none"/>
                <w14:textFill>
                  <w14:solidFill>
                    <w14:schemeClr w14:val="tx1"/>
                  </w14:solidFill>
                </w14:textFill>
              </w:rPr>
              <w:t>，屋面耐火时间大于1小时。隔间墙体采用2</w:t>
            </w:r>
            <w:r>
              <w:rPr>
                <w:rFonts w:hint="default" w:ascii="Times New Roman" w:hAnsi="Times New Roman" w:cs="Times New Roman"/>
                <w:color w:val="000000" w:themeColor="text1"/>
                <w:sz w:val="24"/>
                <w:highlight w:val="none"/>
                <w14:textFill>
                  <w14:solidFill>
                    <w14:schemeClr w14:val="tx1"/>
                  </w14:solidFill>
                </w14:textFill>
              </w:rPr>
              <w:t>00</w:t>
            </w:r>
            <w:r>
              <w:rPr>
                <w:rFonts w:hint="eastAsia" w:ascii="Times New Roman" w:hAnsi="Times New Roman" w:cs="Times New Roman"/>
                <w:color w:val="000000" w:themeColor="text1"/>
                <w:sz w:val="24"/>
                <w:highlight w:val="none"/>
                <w14:textFill>
                  <w14:solidFill>
                    <w14:schemeClr w14:val="tx1"/>
                  </w14:solidFill>
                </w14:textFill>
              </w:rPr>
              <w:t>mm厚龙骨+</w:t>
            </w:r>
            <w:r>
              <w:rPr>
                <w:rFonts w:hint="default" w:ascii="Times New Roman" w:hAnsi="Times New Roman" w:cs="Times New Roman"/>
                <w:color w:val="000000" w:themeColor="text1"/>
                <w:sz w:val="24"/>
                <w:highlight w:val="none"/>
                <w14:textFill>
                  <w14:solidFill>
                    <w14:schemeClr w14:val="tx1"/>
                  </w14:solidFill>
                </w14:textFill>
              </w:rPr>
              <w:t>50</w:t>
            </w:r>
            <w:r>
              <w:rPr>
                <w:rFonts w:hint="eastAsia" w:ascii="Times New Roman" w:hAnsi="Times New Roman" w:cs="Times New Roman"/>
                <w:color w:val="000000" w:themeColor="text1"/>
                <w:sz w:val="24"/>
                <w:highlight w:val="none"/>
                <w14:textFill>
                  <w14:solidFill>
                    <w14:schemeClr w14:val="tx1"/>
                  </w14:solidFill>
                </w14:textFill>
              </w:rPr>
              <w:t>mm厚金属岩棉夹芯板</w:t>
            </w:r>
            <w:r>
              <w:rPr>
                <w:rFonts w:hint="default" w:ascii="Times New Roman" w:hAnsi="Times New Roman" w:cs="Times New Roman"/>
                <w:color w:val="000000" w:themeColor="text1"/>
                <w:sz w:val="24"/>
                <w:highlight w:val="none"/>
                <w14:textFill>
                  <w14:solidFill>
                    <w14:schemeClr w14:val="tx1"/>
                  </w14:solidFill>
                </w14:textFill>
              </w:rPr>
              <w:t>。</w:t>
            </w:r>
          </w:p>
          <w:p w14:paraId="19E90904">
            <w:pPr>
              <w:pStyle w:val="5"/>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表2-1 本项目分区情况表</w:t>
            </w:r>
          </w:p>
          <w:tbl>
            <w:tblPr>
              <w:tblStyle w:val="20"/>
              <w:tblW w:w="8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2400"/>
              <w:gridCol w:w="3996"/>
            </w:tblGrid>
            <w:tr w14:paraId="2186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trPr>
              <w:tc>
                <w:tcPr>
                  <w:tcW w:w="2175" w:type="dxa"/>
                  <w:vAlign w:val="center"/>
                </w:tcPr>
                <w:p w14:paraId="5FAE7799">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防火分区</w:t>
                  </w:r>
                </w:p>
              </w:tc>
              <w:tc>
                <w:tcPr>
                  <w:tcW w:w="2400" w:type="dxa"/>
                  <w:vAlign w:val="center"/>
                </w:tcPr>
                <w:p w14:paraId="785E803D">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建筑面积（m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w:t>
                  </w:r>
                </w:p>
              </w:tc>
              <w:tc>
                <w:tcPr>
                  <w:tcW w:w="3996" w:type="dxa"/>
                  <w:vAlign w:val="center"/>
                </w:tcPr>
                <w:p w14:paraId="05B35FFC">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分区内容</w:t>
                  </w:r>
                </w:p>
              </w:tc>
            </w:tr>
            <w:tr w14:paraId="5D30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5" w:type="dxa"/>
                  <w:vAlign w:val="center"/>
                </w:tcPr>
                <w:p w14:paraId="1E85B7C1">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第一防火分区</w:t>
                  </w:r>
                </w:p>
              </w:tc>
              <w:tc>
                <w:tcPr>
                  <w:tcW w:w="2400" w:type="dxa"/>
                  <w:vAlign w:val="center"/>
                </w:tcPr>
                <w:p w14:paraId="3BC596C1">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208.2</w:t>
                  </w:r>
                </w:p>
              </w:tc>
              <w:tc>
                <w:tcPr>
                  <w:tcW w:w="3996" w:type="dxa"/>
                  <w:vAlign w:val="center"/>
                </w:tcPr>
                <w:p w14:paraId="3A81823E">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甲类库</w:t>
                  </w:r>
                </w:p>
              </w:tc>
            </w:tr>
            <w:tr w14:paraId="588C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175" w:type="dxa"/>
                  <w:vAlign w:val="center"/>
                </w:tcPr>
                <w:p w14:paraId="2BB2A852">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第二防火分区</w:t>
                  </w:r>
                </w:p>
              </w:tc>
              <w:tc>
                <w:tcPr>
                  <w:tcW w:w="2400" w:type="dxa"/>
                  <w:vAlign w:val="center"/>
                </w:tcPr>
                <w:p w14:paraId="235CF751">
                  <w:pPr>
                    <w:adjustRightInd w:val="0"/>
                    <w:snapToGrid w:val="0"/>
                    <w:spacing w:line="240" w:lineRule="auto"/>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90.8</w:t>
                  </w:r>
                </w:p>
              </w:tc>
              <w:tc>
                <w:tcPr>
                  <w:tcW w:w="3996" w:type="dxa"/>
                  <w:vAlign w:val="center"/>
                </w:tcPr>
                <w:p w14:paraId="6256225F">
                  <w:pPr>
                    <w:adjustRightInd w:val="0"/>
                    <w:snapToGrid w:val="0"/>
                    <w:spacing w:line="240" w:lineRule="auto"/>
                    <w:jc w:val="cente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易制爆化学品间、药剂间、危废暂存间</w:t>
                  </w:r>
                </w:p>
              </w:tc>
            </w:tr>
          </w:tbl>
          <w:p w14:paraId="48705604">
            <w:pPr>
              <w:adjustRightInd w:val="0"/>
              <w:snapToGrid w:val="0"/>
              <w:spacing w:line="360" w:lineRule="auto"/>
              <w:ind w:firstLine="482" w:firstLineChars="200"/>
              <w:rPr>
                <w:rFonts w:ascii="Times New Roman" w:hAnsi="Times New Roman" w:eastAsia="宋体" w:cs="Times New Roman"/>
                <w:b/>
                <w:bCs/>
                <w:kern w:val="0"/>
                <w:sz w:val="24"/>
                <w:szCs w:val="24"/>
                <w:highlight w:val="none"/>
                <w:lang w:bidi="ar"/>
              </w:rPr>
            </w:pPr>
            <w:r>
              <w:rPr>
                <w:rFonts w:hint="eastAsia" w:ascii="Times New Roman" w:hAnsi="Times New Roman" w:eastAsia="宋体" w:cs="Times New Roman"/>
                <w:b/>
                <w:bCs/>
                <w:kern w:val="0"/>
                <w:sz w:val="24"/>
                <w:szCs w:val="24"/>
                <w:highlight w:val="none"/>
                <w:lang w:bidi="ar"/>
              </w:rPr>
              <w:t>根据现场调查，本次验收内容实际建设情况如下：</w:t>
            </w:r>
          </w:p>
          <w:p w14:paraId="6AD3F5D0">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yellow"/>
                <w:lang w:val="en-US" w:eastAsia="zh-CN"/>
                <w14:textFill>
                  <w14:solidFill>
                    <w14:schemeClr w14:val="tx1"/>
                  </w14:solidFill>
                </w14:textFill>
              </w:rPr>
            </w:pPr>
            <w:r>
              <w:rPr>
                <w:rFonts w:hint="default" w:ascii="Times New Roman" w:hAnsi="Times New Roman" w:cs="Times New Roman"/>
                <w:sz w:val="24"/>
              </w:rPr>
              <w:t>项目新建一座建筑面积299.04m</w:t>
            </w:r>
            <w:r>
              <w:rPr>
                <w:rFonts w:hint="default" w:ascii="Times New Roman" w:hAnsi="Times New Roman" w:cs="Times New Roman"/>
                <w:sz w:val="24"/>
                <w:vertAlign w:val="superscript"/>
              </w:rPr>
              <w:t>2</w:t>
            </w:r>
            <w:r>
              <w:rPr>
                <w:rFonts w:hint="default" w:ascii="Times New Roman" w:hAnsi="Times New Roman" w:cs="Times New Roman"/>
                <w:sz w:val="24"/>
              </w:rPr>
              <w:t>，计容面积598.08m</w:t>
            </w:r>
            <w:r>
              <w:rPr>
                <w:rFonts w:hint="default" w:ascii="Times New Roman" w:hAnsi="Times New Roman" w:cs="Times New Roman"/>
                <w:sz w:val="24"/>
                <w:vertAlign w:val="superscript"/>
              </w:rPr>
              <w:t>2</w:t>
            </w:r>
            <w:r>
              <w:rPr>
                <w:rFonts w:hint="default" w:ascii="Times New Roman" w:hAnsi="Times New Roman" w:cs="Times New Roman"/>
                <w:sz w:val="24"/>
              </w:rPr>
              <w:t xml:space="preserve"> 的单层</w:t>
            </w:r>
            <w:r>
              <w:rPr>
                <w:rFonts w:hint="default" w:ascii="Times New Roman" w:hAnsi="Times New Roman" w:cs="Times New Roman"/>
                <w:kern w:val="0"/>
                <w:sz w:val="24"/>
              </w:rPr>
              <w:t>甲类化学品库房（原料库，W2-仓库2）</w:t>
            </w:r>
            <w:r>
              <w:rPr>
                <w:rFonts w:hint="default" w:ascii="Times New Roman" w:hAnsi="Times New Roman" w:cs="Times New Roman"/>
                <w:sz w:val="24"/>
              </w:rPr>
              <w:t>。</w:t>
            </w:r>
            <w:r>
              <w:rPr>
                <w:rFonts w:hint="default" w:ascii="Times New Roman" w:hAnsi="Times New Roman" w:cs="Times New Roman"/>
                <w:color w:val="000000" w:themeColor="text1"/>
                <w:sz w:val="24"/>
                <w:highlight w:val="none"/>
                <w14:textFill>
                  <w14:solidFill>
                    <w14:schemeClr w14:val="tx1"/>
                  </w14:solidFill>
                </w14:textFill>
              </w:rPr>
              <w:t>整个库区分为两个防火分区，甲类库区为一个防火分区，易制爆化学品间、药剂间和危废暂存间为一个防火分区, 第一防火分区建筑面积</w:t>
            </w:r>
            <w:bookmarkStart w:id="54" w:name="_GoBack"/>
            <w:bookmarkEnd w:id="54"/>
            <w:r>
              <w:rPr>
                <w:rFonts w:hint="default" w:ascii="Times New Roman" w:hAnsi="Times New Roman" w:cs="Times New Roman"/>
                <w:color w:val="000000" w:themeColor="text1"/>
                <w:sz w:val="24"/>
                <w:highlight w:val="none"/>
                <w14:textFill>
                  <w14:solidFill>
                    <w14:schemeClr w14:val="tx1"/>
                  </w14:solidFill>
                </w14:textFill>
              </w:rPr>
              <w:t>为 208.2m</w:t>
            </w:r>
            <w:r>
              <w:rPr>
                <w:rFonts w:hint="default" w:ascii="Times New Roman" w:hAnsi="Times New Roman" w:cs="Times New Roman"/>
                <w:color w:val="000000" w:themeColor="text1"/>
                <w:sz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，第二防火分区建筑面积为90.8m</w:t>
            </w:r>
            <w:r>
              <w:rPr>
                <w:rFonts w:hint="default" w:ascii="Times New Roman" w:hAnsi="Times New Roman" w:cs="Times New Roman"/>
                <w:color w:val="000000" w:themeColor="text1"/>
                <w:sz w:val="24"/>
                <w:highlight w:val="none"/>
                <w:vertAlign w:val="super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实际建设内容较环评无变化。</w:t>
            </w:r>
          </w:p>
          <w:p w14:paraId="284A9095">
            <w:pPr>
              <w:spacing w:line="360" w:lineRule="auto"/>
              <w:ind w:firstLine="482" w:firstLineChars="200"/>
              <w:jc w:val="left"/>
              <w:rPr>
                <w:rFonts w:ascii="Times New Roman" w:hAnsi="Times New Roman" w:cs="Times New Roman"/>
                <w:sz w:val="24"/>
                <w:szCs w:val="24"/>
                <w:highlight w:val="none"/>
              </w:rPr>
            </w:pPr>
            <w:r>
              <w:rPr>
                <w:rFonts w:hint="eastAsia" w:ascii="Times New Roman" w:hAnsi="Times New Roman" w:cs="Times New Roman"/>
                <w:b/>
                <w:sz w:val="24"/>
                <w:szCs w:val="24"/>
                <w:highlight w:val="none"/>
                <w:lang w:val="en-US" w:eastAsia="zh-CN"/>
              </w:rPr>
              <w:t>储存</w:t>
            </w:r>
            <w:r>
              <w:rPr>
                <w:rFonts w:hint="eastAsia" w:ascii="Times New Roman" w:hAnsi="Times New Roman" w:cs="Times New Roman"/>
                <w:b/>
                <w:sz w:val="24"/>
                <w:szCs w:val="24"/>
                <w:highlight w:val="none"/>
              </w:rPr>
              <w:t>方案</w:t>
            </w:r>
          </w:p>
          <w:p w14:paraId="0ED76DCD">
            <w:pPr>
              <w:spacing w:line="360" w:lineRule="auto"/>
              <w:ind w:firstLine="480" w:firstLineChars="200"/>
              <w:jc w:val="left"/>
              <w:rPr>
                <w:rFonts w:ascii="Times New Roman" w:hAnsi="Times New Roman" w:cs="Times New Roman"/>
                <w:bCs/>
                <w:sz w:val="24"/>
                <w:szCs w:val="24"/>
                <w:highlight w:val="none"/>
              </w:rPr>
            </w:pPr>
            <w:r>
              <w:rPr>
                <w:rFonts w:hint="eastAsia" w:ascii="Times New Roman" w:hAnsi="Times New Roman" w:cs="Times New Roman"/>
                <w:bCs/>
                <w:sz w:val="24"/>
                <w:szCs w:val="24"/>
                <w:highlight w:val="none"/>
              </w:rPr>
              <w:t>本项目实际建设后，</w:t>
            </w:r>
            <w:r>
              <w:rPr>
                <w:rFonts w:hint="eastAsia" w:ascii="Times New Roman" w:hAnsi="Times New Roman" w:cs="Times New Roman"/>
                <w:bCs/>
                <w:sz w:val="24"/>
                <w:szCs w:val="24"/>
                <w:highlight w:val="none"/>
                <w:lang w:val="en-US" w:eastAsia="zh-CN"/>
              </w:rPr>
              <w:t>根据实际生产需求，其储存量较</w:t>
            </w:r>
            <w:r>
              <w:rPr>
                <w:rFonts w:hint="eastAsia" w:ascii="Times New Roman" w:hAnsi="Times New Roman" w:cs="Times New Roman"/>
                <w:bCs/>
                <w:sz w:val="24"/>
                <w:szCs w:val="24"/>
                <w:highlight w:val="none"/>
              </w:rPr>
              <w:t>环评</w:t>
            </w:r>
            <w:r>
              <w:rPr>
                <w:rFonts w:hint="eastAsia" w:ascii="Times New Roman" w:hAnsi="Times New Roman" w:cs="Times New Roman"/>
                <w:bCs/>
                <w:sz w:val="24"/>
                <w:szCs w:val="24"/>
                <w:highlight w:val="none"/>
                <w:lang w:val="en-US" w:eastAsia="zh-CN"/>
              </w:rPr>
              <w:t>增加26.32%</w:t>
            </w:r>
            <w:r>
              <w:rPr>
                <w:rFonts w:hint="eastAsia" w:ascii="Times New Roman" w:hAnsi="Times New Roman" w:cs="Times New Roman"/>
                <w:bCs/>
                <w:sz w:val="24"/>
                <w:szCs w:val="24"/>
                <w:highlight w:val="none"/>
              </w:rPr>
              <w:t>。详见下表：</w:t>
            </w:r>
          </w:p>
          <w:p w14:paraId="7D8B7EF8">
            <w:pPr>
              <w:spacing w:line="360" w:lineRule="auto"/>
              <w:rPr>
                <w:sz w:val="24"/>
                <w:highlight w:val="yellow"/>
              </w:rPr>
            </w:pPr>
          </w:p>
          <w:p w14:paraId="498C85AD">
            <w:pPr>
              <w:pStyle w:val="5"/>
              <w:rPr>
                <w:sz w:val="24"/>
                <w:highlight w:val="yellow"/>
              </w:rPr>
            </w:pPr>
          </w:p>
          <w:p w14:paraId="479F855F">
            <w:pPr>
              <w:pStyle w:val="6"/>
              <w:rPr>
                <w:sz w:val="24"/>
                <w:highlight w:val="yellow"/>
              </w:rPr>
            </w:pPr>
          </w:p>
          <w:p w14:paraId="74D699DE">
            <w:pPr>
              <w:rPr>
                <w:sz w:val="24"/>
                <w:highlight w:val="yellow"/>
              </w:rPr>
            </w:pPr>
          </w:p>
          <w:p w14:paraId="5A387B31">
            <w:pPr>
              <w:pStyle w:val="5"/>
            </w:pPr>
          </w:p>
        </w:tc>
      </w:tr>
    </w:tbl>
    <w:p w14:paraId="35E9A41C">
      <w:pPr>
        <w:spacing w:line="276" w:lineRule="auto"/>
        <w:jc w:val="left"/>
        <w:outlineLvl w:val="0"/>
        <w:rPr>
          <w:rFonts w:ascii="Times New Roman" w:hAnsi="Times New Roman" w:cs="Times New Roman"/>
          <w:sz w:val="28"/>
          <w:szCs w:val="28"/>
          <w:highlight w:val="none"/>
        </w:rPr>
        <w:sectPr>
          <w:footerReference r:id="rId5" w:type="default"/>
          <w:pgSz w:w="11906" w:h="16838"/>
          <w:pgMar w:top="1440" w:right="1588" w:bottom="1440" w:left="1588" w:header="851" w:footer="992" w:gutter="0"/>
          <w:cols w:space="425" w:num="1"/>
          <w:docGrid w:type="lines" w:linePitch="312" w:charSpace="0"/>
        </w:sectPr>
      </w:pPr>
    </w:p>
    <w:p w14:paraId="516B2E30">
      <w:pPr>
        <w:adjustRightInd w:val="0"/>
        <w:snapToGrid w:val="0"/>
        <w:jc w:val="center"/>
        <w:rPr>
          <w:rFonts w:ascii="Times New Roman" w:hAnsi="Times New Roman" w:cs="Times New Roman"/>
          <w:bCs/>
          <w:sz w:val="24"/>
          <w:szCs w:val="24"/>
        </w:rPr>
      </w:pPr>
      <w:r>
        <w:rPr>
          <w:rFonts w:ascii="Times New Roman" w:hAnsi="Times New Roman" w:cs="Times New Roman"/>
          <w:bCs/>
          <w:sz w:val="24"/>
          <w:szCs w:val="24"/>
        </w:rPr>
        <w:t>表2-</w:t>
      </w:r>
      <w:r>
        <w:rPr>
          <w:rFonts w:hint="eastAsia" w:ascii="Times New Roman" w:hAnsi="Times New Roman" w:cs="Times New Roman"/>
          <w:bCs/>
          <w:sz w:val="24"/>
          <w:szCs w:val="24"/>
          <w:lang w:val="en-US" w:eastAsia="zh-CN"/>
        </w:rPr>
        <w:t>2</w:t>
      </w:r>
      <w:r>
        <w:rPr>
          <w:rFonts w:hint="eastAsia" w:ascii="Times New Roman" w:hAnsi="Times New Roman" w:cs="Times New Roman"/>
          <w:bCs/>
          <w:sz w:val="24"/>
          <w:szCs w:val="24"/>
        </w:rPr>
        <w:t>储存</w:t>
      </w:r>
      <w:r>
        <w:rPr>
          <w:rFonts w:ascii="Times New Roman" w:hAnsi="Times New Roman" w:cs="Times New Roman"/>
          <w:bCs/>
          <w:sz w:val="24"/>
          <w:szCs w:val="24"/>
        </w:rPr>
        <w:t>方案</w:t>
      </w:r>
    </w:p>
    <w:tbl>
      <w:tblPr>
        <w:tblStyle w:val="20"/>
        <w:tblW w:w="13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0"/>
        <w:gridCol w:w="2229"/>
        <w:gridCol w:w="654"/>
        <w:gridCol w:w="754"/>
        <w:gridCol w:w="1131"/>
        <w:gridCol w:w="1131"/>
        <w:gridCol w:w="802"/>
        <w:gridCol w:w="1128"/>
        <w:gridCol w:w="1929"/>
        <w:gridCol w:w="1901"/>
      </w:tblGrid>
      <w:tr w14:paraId="3C65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09" w:type="dxa"/>
            <w:gridSpan w:val="2"/>
            <w:vAlign w:val="center"/>
          </w:tcPr>
          <w:p w14:paraId="1166219E">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储存物质名称</w:t>
            </w:r>
          </w:p>
        </w:tc>
        <w:tc>
          <w:tcPr>
            <w:tcW w:w="1408" w:type="dxa"/>
            <w:gridSpan w:val="2"/>
            <w:vAlign w:val="center"/>
          </w:tcPr>
          <w:p w14:paraId="3296CA64">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形态</w:t>
            </w:r>
          </w:p>
        </w:tc>
        <w:tc>
          <w:tcPr>
            <w:tcW w:w="2262" w:type="dxa"/>
            <w:gridSpan w:val="2"/>
            <w:vAlign w:val="center"/>
          </w:tcPr>
          <w:p w14:paraId="5870A2BB">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规格</w:t>
            </w:r>
          </w:p>
        </w:tc>
        <w:tc>
          <w:tcPr>
            <w:tcW w:w="1930" w:type="dxa"/>
            <w:gridSpan w:val="2"/>
            <w:vAlign w:val="center"/>
          </w:tcPr>
          <w:p w14:paraId="364D6C26">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最大存储量（t）</w:t>
            </w:r>
          </w:p>
        </w:tc>
        <w:tc>
          <w:tcPr>
            <w:tcW w:w="3830" w:type="dxa"/>
            <w:gridSpan w:val="2"/>
            <w:vAlign w:val="center"/>
          </w:tcPr>
          <w:p w14:paraId="0BC5B986">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储存位置</w:t>
            </w:r>
          </w:p>
        </w:tc>
      </w:tr>
      <w:tr w14:paraId="547A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280" w:type="dxa"/>
            <w:vAlign w:val="center"/>
          </w:tcPr>
          <w:p w14:paraId="0BBCE160">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环评</w:t>
            </w:r>
          </w:p>
        </w:tc>
        <w:tc>
          <w:tcPr>
            <w:tcW w:w="2229" w:type="dxa"/>
            <w:vAlign w:val="center"/>
          </w:tcPr>
          <w:p w14:paraId="1863C5E3">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实际建设</w:t>
            </w:r>
          </w:p>
        </w:tc>
        <w:tc>
          <w:tcPr>
            <w:tcW w:w="654" w:type="dxa"/>
            <w:vAlign w:val="center"/>
          </w:tcPr>
          <w:p w14:paraId="6E9CAEDF">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环评</w:t>
            </w:r>
          </w:p>
        </w:tc>
        <w:tc>
          <w:tcPr>
            <w:tcW w:w="754" w:type="dxa"/>
            <w:vAlign w:val="center"/>
          </w:tcPr>
          <w:p w14:paraId="4E079026">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实际建设</w:t>
            </w:r>
          </w:p>
        </w:tc>
        <w:tc>
          <w:tcPr>
            <w:tcW w:w="1131" w:type="dxa"/>
            <w:vAlign w:val="center"/>
          </w:tcPr>
          <w:p w14:paraId="1315338E">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环评</w:t>
            </w:r>
          </w:p>
        </w:tc>
        <w:tc>
          <w:tcPr>
            <w:tcW w:w="1131" w:type="dxa"/>
            <w:vAlign w:val="center"/>
          </w:tcPr>
          <w:p w14:paraId="1C0875E9">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实际建设</w:t>
            </w:r>
          </w:p>
        </w:tc>
        <w:tc>
          <w:tcPr>
            <w:tcW w:w="802" w:type="dxa"/>
            <w:vAlign w:val="center"/>
          </w:tcPr>
          <w:p w14:paraId="080AC848">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环评</w:t>
            </w:r>
          </w:p>
        </w:tc>
        <w:tc>
          <w:tcPr>
            <w:tcW w:w="1128" w:type="dxa"/>
            <w:vAlign w:val="center"/>
          </w:tcPr>
          <w:p w14:paraId="067E8AAC">
            <w:pPr>
              <w:spacing w:line="360" w:lineRule="auto"/>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实际建设</w:t>
            </w:r>
          </w:p>
        </w:tc>
        <w:tc>
          <w:tcPr>
            <w:tcW w:w="1929" w:type="dxa"/>
            <w:vAlign w:val="center"/>
          </w:tcPr>
          <w:p w14:paraId="17A5AFED">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环评</w:t>
            </w:r>
          </w:p>
        </w:tc>
        <w:tc>
          <w:tcPr>
            <w:tcW w:w="1901" w:type="dxa"/>
            <w:vAlign w:val="center"/>
          </w:tcPr>
          <w:p w14:paraId="14384BD7">
            <w:pPr>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实际建设</w:t>
            </w:r>
          </w:p>
        </w:tc>
      </w:tr>
      <w:tr w14:paraId="4362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280" w:type="dxa"/>
            <w:shd w:val="clear" w:color="auto" w:fill="auto"/>
            <w:vAlign w:val="center"/>
          </w:tcPr>
          <w:p w14:paraId="1C06E960">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磷酸（85%）</w:t>
            </w:r>
          </w:p>
        </w:tc>
        <w:tc>
          <w:tcPr>
            <w:tcW w:w="2229" w:type="dxa"/>
            <w:shd w:val="clear" w:color="auto" w:fill="auto"/>
            <w:vAlign w:val="center"/>
          </w:tcPr>
          <w:p w14:paraId="44C6DED4">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磷酸（85%）</w:t>
            </w:r>
          </w:p>
        </w:tc>
        <w:tc>
          <w:tcPr>
            <w:tcW w:w="654" w:type="dxa"/>
            <w:shd w:val="clear" w:color="auto" w:fill="auto"/>
            <w:vAlign w:val="center"/>
          </w:tcPr>
          <w:p w14:paraId="051048C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7ACDFA7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5D0686A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307.8kg/桶</w:t>
            </w:r>
          </w:p>
        </w:tc>
        <w:tc>
          <w:tcPr>
            <w:tcW w:w="1131" w:type="dxa"/>
            <w:shd w:val="clear" w:color="auto" w:fill="auto"/>
            <w:vAlign w:val="center"/>
          </w:tcPr>
          <w:p w14:paraId="7D3EAA5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307.8kg/桶</w:t>
            </w:r>
          </w:p>
        </w:tc>
        <w:tc>
          <w:tcPr>
            <w:tcW w:w="802" w:type="dxa"/>
            <w:shd w:val="clear" w:color="auto" w:fill="auto"/>
            <w:vAlign w:val="center"/>
          </w:tcPr>
          <w:p w14:paraId="1597D6D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2.46</w:t>
            </w:r>
          </w:p>
        </w:tc>
        <w:tc>
          <w:tcPr>
            <w:tcW w:w="1128" w:type="dxa"/>
            <w:shd w:val="clear" w:color="auto" w:fill="auto"/>
            <w:vAlign w:val="center"/>
          </w:tcPr>
          <w:p w14:paraId="079D0593">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3.693</w:t>
            </w:r>
          </w:p>
        </w:tc>
        <w:tc>
          <w:tcPr>
            <w:tcW w:w="1929" w:type="dxa"/>
            <w:shd w:val="clear" w:color="auto" w:fill="auto"/>
            <w:vAlign w:val="center"/>
          </w:tcPr>
          <w:p w14:paraId="689A8A9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1D1F34C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2E73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AC46D58">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柠檬酸</w:t>
            </w:r>
          </w:p>
        </w:tc>
        <w:tc>
          <w:tcPr>
            <w:tcW w:w="2229" w:type="dxa"/>
            <w:shd w:val="clear" w:color="auto" w:fill="auto"/>
            <w:vAlign w:val="center"/>
          </w:tcPr>
          <w:p w14:paraId="6E790866">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柠檬酸</w:t>
            </w:r>
          </w:p>
        </w:tc>
        <w:tc>
          <w:tcPr>
            <w:tcW w:w="654" w:type="dxa"/>
            <w:shd w:val="clear" w:color="auto" w:fill="auto"/>
            <w:vAlign w:val="center"/>
          </w:tcPr>
          <w:p w14:paraId="36678C1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101A16C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5A9617E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5kg/袋</w:t>
            </w:r>
          </w:p>
        </w:tc>
        <w:tc>
          <w:tcPr>
            <w:tcW w:w="1131" w:type="dxa"/>
            <w:shd w:val="clear" w:color="auto" w:fill="auto"/>
            <w:vAlign w:val="center"/>
          </w:tcPr>
          <w:p w14:paraId="0C5D489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w:t>
            </w:r>
            <w:r>
              <w:rPr>
                <w:rFonts w:hint="default" w:ascii="Times New Roman" w:hAnsi="Times New Roman" w:cs="Times New Roman"/>
                <w:color w:val="000000" w:themeColor="text1"/>
                <w:kern w:val="0"/>
                <w:sz w:val="21"/>
                <w:szCs w:val="21"/>
                <w14:textFill>
                  <w14:solidFill>
                    <w14:schemeClr w14:val="tx1"/>
                  </w14:solidFill>
                </w14:textFill>
              </w:rPr>
              <w:t>5kg/袋</w:t>
            </w:r>
          </w:p>
        </w:tc>
        <w:tc>
          <w:tcPr>
            <w:tcW w:w="802" w:type="dxa"/>
            <w:shd w:val="clear" w:color="auto" w:fill="auto"/>
            <w:vAlign w:val="center"/>
          </w:tcPr>
          <w:p w14:paraId="598E9BB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1.52</w:t>
            </w:r>
          </w:p>
        </w:tc>
        <w:tc>
          <w:tcPr>
            <w:tcW w:w="1128" w:type="dxa"/>
            <w:shd w:val="clear" w:color="auto" w:fill="auto"/>
            <w:vAlign w:val="center"/>
          </w:tcPr>
          <w:p w14:paraId="52D7E8EB">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0.52</w:t>
            </w:r>
          </w:p>
        </w:tc>
        <w:tc>
          <w:tcPr>
            <w:tcW w:w="1929" w:type="dxa"/>
            <w:shd w:val="clear" w:color="auto" w:fill="auto"/>
            <w:vAlign w:val="center"/>
          </w:tcPr>
          <w:p w14:paraId="4A7170B5">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c>
          <w:tcPr>
            <w:tcW w:w="1901" w:type="dxa"/>
            <w:shd w:val="clear" w:color="auto" w:fill="auto"/>
            <w:vAlign w:val="center"/>
          </w:tcPr>
          <w:p w14:paraId="57613C6D">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r>
      <w:tr w14:paraId="4C39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47B6055">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清洁剂（Proklenz Two ， 酸性）</w:t>
            </w:r>
          </w:p>
        </w:tc>
        <w:tc>
          <w:tcPr>
            <w:tcW w:w="2229" w:type="dxa"/>
            <w:shd w:val="clear" w:color="auto" w:fill="auto"/>
            <w:vAlign w:val="center"/>
          </w:tcPr>
          <w:p w14:paraId="0A5AB8D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清洁剂（Proklenz Two ， 酸性）</w:t>
            </w:r>
          </w:p>
        </w:tc>
        <w:tc>
          <w:tcPr>
            <w:tcW w:w="654" w:type="dxa"/>
            <w:shd w:val="clear" w:color="auto" w:fill="auto"/>
            <w:vAlign w:val="center"/>
          </w:tcPr>
          <w:p w14:paraId="765C2AF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6E985F91">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684B55AA">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18.9L/桶</w:t>
            </w:r>
          </w:p>
        </w:tc>
        <w:tc>
          <w:tcPr>
            <w:tcW w:w="1131" w:type="dxa"/>
            <w:shd w:val="clear" w:color="auto" w:fill="auto"/>
            <w:vAlign w:val="center"/>
          </w:tcPr>
          <w:p w14:paraId="4837C4A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18.9L/桶</w:t>
            </w:r>
          </w:p>
        </w:tc>
        <w:tc>
          <w:tcPr>
            <w:tcW w:w="802" w:type="dxa"/>
            <w:shd w:val="clear" w:color="auto" w:fill="auto"/>
            <w:vAlign w:val="center"/>
          </w:tcPr>
          <w:p w14:paraId="7F19F57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0.09</w:t>
            </w:r>
          </w:p>
        </w:tc>
        <w:tc>
          <w:tcPr>
            <w:tcW w:w="1128" w:type="dxa"/>
            <w:shd w:val="clear" w:color="auto" w:fill="auto"/>
            <w:vAlign w:val="center"/>
          </w:tcPr>
          <w:p w14:paraId="19E9F3D1">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0.2</w:t>
            </w:r>
          </w:p>
        </w:tc>
        <w:tc>
          <w:tcPr>
            <w:tcW w:w="1929" w:type="dxa"/>
            <w:shd w:val="clear" w:color="auto" w:fill="auto"/>
            <w:vAlign w:val="center"/>
          </w:tcPr>
          <w:p w14:paraId="31D952D4">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0D7A48AE">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3A67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0D3E4DB6">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LpH III se Phenolic Disinfectant 酚类消毒剂（非无菌酚类消毒剂）</w:t>
            </w:r>
          </w:p>
        </w:tc>
        <w:tc>
          <w:tcPr>
            <w:tcW w:w="2229" w:type="dxa"/>
            <w:shd w:val="clear" w:color="auto" w:fill="auto"/>
            <w:vAlign w:val="center"/>
          </w:tcPr>
          <w:p w14:paraId="3D1F02CD">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LpH III se Phenolic Disinfectant 酚类消毒剂（非无菌酚类消毒剂）</w:t>
            </w:r>
          </w:p>
        </w:tc>
        <w:tc>
          <w:tcPr>
            <w:tcW w:w="654" w:type="dxa"/>
            <w:shd w:val="clear" w:color="auto" w:fill="auto"/>
            <w:vAlign w:val="center"/>
          </w:tcPr>
          <w:p w14:paraId="57B8CD8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3BC13B5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1FC8F64D">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4kg/桶</w:t>
            </w:r>
          </w:p>
        </w:tc>
        <w:tc>
          <w:tcPr>
            <w:tcW w:w="1131" w:type="dxa"/>
            <w:shd w:val="clear" w:color="auto" w:fill="auto"/>
            <w:vAlign w:val="center"/>
          </w:tcPr>
          <w:p w14:paraId="043F00F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4kg/桶</w:t>
            </w:r>
          </w:p>
        </w:tc>
        <w:tc>
          <w:tcPr>
            <w:tcW w:w="802" w:type="dxa"/>
            <w:shd w:val="clear" w:color="auto" w:fill="auto"/>
            <w:vAlign w:val="center"/>
          </w:tcPr>
          <w:p w14:paraId="1E826A8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0.26</w:t>
            </w:r>
          </w:p>
        </w:tc>
        <w:tc>
          <w:tcPr>
            <w:tcW w:w="1128" w:type="dxa"/>
            <w:shd w:val="clear" w:color="auto" w:fill="auto"/>
            <w:vAlign w:val="center"/>
          </w:tcPr>
          <w:p w14:paraId="6B47066F">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1.16</w:t>
            </w:r>
          </w:p>
        </w:tc>
        <w:tc>
          <w:tcPr>
            <w:tcW w:w="1929" w:type="dxa"/>
            <w:shd w:val="clear" w:color="auto" w:fill="auto"/>
            <w:vAlign w:val="center"/>
          </w:tcPr>
          <w:p w14:paraId="7C7FE7BF">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3F2FBD44">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3397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3403A03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LpH III st Phenolic Disinfectant 1S18-29酚类消毒剂（无菌酸酚消毒剂）</w:t>
            </w:r>
          </w:p>
        </w:tc>
        <w:tc>
          <w:tcPr>
            <w:tcW w:w="2229" w:type="dxa"/>
            <w:shd w:val="clear" w:color="auto" w:fill="auto"/>
            <w:vAlign w:val="center"/>
          </w:tcPr>
          <w:p w14:paraId="2347CA60">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LpH III st Phenolic Disinfectant 1S18-29酚类消毒剂（无菌酸酚消毒剂）</w:t>
            </w:r>
          </w:p>
        </w:tc>
        <w:tc>
          <w:tcPr>
            <w:tcW w:w="654" w:type="dxa"/>
            <w:shd w:val="clear" w:color="auto" w:fill="auto"/>
            <w:vAlign w:val="center"/>
          </w:tcPr>
          <w:p w14:paraId="529CAA9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372A5B2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376F5325">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0.06kg/包</w:t>
            </w:r>
          </w:p>
        </w:tc>
        <w:tc>
          <w:tcPr>
            <w:tcW w:w="1131" w:type="dxa"/>
            <w:shd w:val="clear" w:color="auto" w:fill="auto"/>
            <w:vAlign w:val="center"/>
          </w:tcPr>
          <w:p w14:paraId="0699EBB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0.06kg/包</w:t>
            </w:r>
          </w:p>
        </w:tc>
        <w:tc>
          <w:tcPr>
            <w:tcW w:w="802" w:type="dxa"/>
            <w:shd w:val="clear" w:color="auto" w:fill="auto"/>
            <w:vAlign w:val="center"/>
          </w:tcPr>
          <w:p w14:paraId="0E37B75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0.07</w:t>
            </w:r>
          </w:p>
        </w:tc>
        <w:tc>
          <w:tcPr>
            <w:tcW w:w="1128" w:type="dxa"/>
            <w:shd w:val="clear" w:color="auto" w:fill="auto"/>
            <w:vAlign w:val="center"/>
          </w:tcPr>
          <w:p w14:paraId="2E6D82E9">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0.285</w:t>
            </w:r>
          </w:p>
        </w:tc>
        <w:tc>
          <w:tcPr>
            <w:tcW w:w="1929" w:type="dxa"/>
            <w:shd w:val="clear" w:color="auto" w:fill="auto"/>
            <w:vAlign w:val="center"/>
          </w:tcPr>
          <w:p w14:paraId="1C70FFE8">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787A5805">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0445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4BD1B157">
            <w:pPr>
              <w:autoSpaceDE w:val="0"/>
              <w:autoSpaceDN w:val="0"/>
              <w:adjustRightInd w:val="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IPA（二甲基甲醇）</w:t>
            </w:r>
          </w:p>
        </w:tc>
        <w:tc>
          <w:tcPr>
            <w:tcW w:w="2229" w:type="dxa"/>
            <w:shd w:val="clear" w:color="auto" w:fill="auto"/>
            <w:vAlign w:val="center"/>
          </w:tcPr>
          <w:p w14:paraId="7BBC07A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IPA（二甲基甲醇）</w:t>
            </w:r>
          </w:p>
        </w:tc>
        <w:tc>
          <w:tcPr>
            <w:tcW w:w="654" w:type="dxa"/>
            <w:shd w:val="clear" w:color="auto" w:fill="auto"/>
            <w:vAlign w:val="center"/>
          </w:tcPr>
          <w:p w14:paraId="552968B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221988D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0DC122C0">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1kg/瓶</w:t>
            </w:r>
          </w:p>
        </w:tc>
        <w:tc>
          <w:tcPr>
            <w:tcW w:w="1131" w:type="dxa"/>
            <w:shd w:val="clear" w:color="auto" w:fill="auto"/>
            <w:vAlign w:val="center"/>
          </w:tcPr>
          <w:p w14:paraId="77F0CB7E">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1kg/瓶</w:t>
            </w:r>
          </w:p>
          <w:p w14:paraId="780C2DC9">
            <w:pPr>
              <w:pStyle w:val="5"/>
              <w:ind w:left="0" w:leftChars="0" w:firstLine="0" w:firstLineChars="0"/>
              <w:jc w:val="center"/>
              <w:rPr>
                <w:rFonts w:hint="default" w:eastAsia="仿宋_GB2312"/>
                <w:color w:val="000000" w:themeColor="text1"/>
                <w:lang w:val="en-US" w:eastAsia="zh-CN"/>
                <w14:textFill>
                  <w14:solidFill>
                    <w14:schemeClr w14:val="tx1"/>
                  </w14:solidFill>
                </w14:textFill>
              </w:rPr>
            </w:pPr>
            <w:r>
              <w:rPr>
                <w:rFonts w:hint="eastAsia"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t>2kg/瓶</w:t>
            </w:r>
          </w:p>
        </w:tc>
        <w:tc>
          <w:tcPr>
            <w:tcW w:w="802" w:type="dxa"/>
            <w:shd w:val="clear" w:color="auto" w:fill="auto"/>
            <w:vAlign w:val="center"/>
          </w:tcPr>
          <w:p w14:paraId="153E377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0.02</w:t>
            </w:r>
          </w:p>
        </w:tc>
        <w:tc>
          <w:tcPr>
            <w:tcW w:w="1128" w:type="dxa"/>
            <w:shd w:val="clear" w:color="auto" w:fill="auto"/>
            <w:vAlign w:val="center"/>
          </w:tcPr>
          <w:p w14:paraId="6587F3A7">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1.9</w:t>
            </w:r>
          </w:p>
        </w:tc>
        <w:tc>
          <w:tcPr>
            <w:tcW w:w="1929" w:type="dxa"/>
            <w:shd w:val="clear" w:color="auto" w:fill="auto"/>
            <w:vAlign w:val="center"/>
          </w:tcPr>
          <w:p w14:paraId="57C6B6A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2EEC89C3">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2429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F14E1E3">
            <w:pPr>
              <w:autoSpaceDE w:val="0"/>
              <w:autoSpaceDN w:val="0"/>
              <w:adjustRightInd w:val="0"/>
              <w:jc w:val="center"/>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CIP 100（清洗剂）</w:t>
            </w:r>
          </w:p>
        </w:tc>
        <w:tc>
          <w:tcPr>
            <w:tcW w:w="2229" w:type="dxa"/>
            <w:shd w:val="clear" w:color="auto" w:fill="auto"/>
            <w:vAlign w:val="center"/>
          </w:tcPr>
          <w:p w14:paraId="74E93BE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CIP 100（清洗剂）</w:t>
            </w:r>
          </w:p>
        </w:tc>
        <w:tc>
          <w:tcPr>
            <w:tcW w:w="654" w:type="dxa"/>
            <w:shd w:val="clear" w:color="auto" w:fill="auto"/>
            <w:vAlign w:val="center"/>
          </w:tcPr>
          <w:p w14:paraId="29FDFF6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430CC55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297AF296">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18.93L/桶</w:t>
            </w:r>
          </w:p>
        </w:tc>
        <w:tc>
          <w:tcPr>
            <w:tcW w:w="1131" w:type="dxa"/>
            <w:shd w:val="clear" w:color="auto" w:fill="auto"/>
            <w:vAlign w:val="center"/>
          </w:tcPr>
          <w:p w14:paraId="5C10415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25kg</w:t>
            </w:r>
            <w:r>
              <w:rPr>
                <w:rFonts w:hint="default" w:ascii="Times New Roman" w:hAnsi="Times New Roman" w:cs="Times New Roman"/>
                <w:color w:val="000000" w:themeColor="text1"/>
                <w:kern w:val="0"/>
                <w:sz w:val="21"/>
                <w:szCs w:val="21"/>
                <w14:textFill>
                  <w14:solidFill>
                    <w14:schemeClr w14:val="tx1"/>
                  </w14:solidFill>
                </w14:textFill>
              </w:rPr>
              <w:t>/桶</w:t>
            </w:r>
          </w:p>
        </w:tc>
        <w:tc>
          <w:tcPr>
            <w:tcW w:w="802" w:type="dxa"/>
            <w:shd w:val="clear" w:color="auto" w:fill="auto"/>
            <w:vAlign w:val="center"/>
          </w:tcPr>
          <w:p w14:paraId="4DE5957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1.64</w:t>
            </w:r>
          </w:p>
        </w:tc>
        <w:tc>
          <w:tcPr>
            <w:tcW w:w="1128" w:type="dxa"/>
            <w:shd w:val="clear" w:color="auto" w:fill="auto"/>
            <w:vAlign w:val="center"/>
          </w:tcPr>
          <w:p w14:paraId="3C716977">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6.8</w:t>
            </w:r>
          </w:p>
        </w:tc>
        <w:tc>
          <w:tcPr>
            <w:tcW w:w="1929" w:type="dxa"/>
            <w:shd w:val="clear" w:color="auto" w:fill="auto"/>
            <w:vAlign w:val="center"/>
          </w:tcPr>
          <w:p w14:paraId="47FE2BE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1407852D">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2918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3AA8FD8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氢氧化钠</w:t>
            </w:r>
          </w:p>
        </w:tc>
        <w:tc>
          <w:tcPr>
            <w:tcW w:w="2229" w:type="dxa"/>
            <w:shd w:val="clear" w:color="auto" w:fill="auto"/>
            <w:vAlign w:val="center"/>
          </w:tcPr>
          <w:p w14:paraId="4ECA9C4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氢氧化钠</w:t>
            </w:r>
          </w:p>
        </w:tc>
        <w:tc>
          <w:tcPr>
            <w:tcW w:w="654" w:type="dxa"/>
            <w:shd w:val="clear" w:color="auto" w:fill="auto"/>
            <w:vAlign w:val="center"/>
          </w:tcPr>
          <w:p w14:paraId="14DE669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1D0A15A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65C7A3F8">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5kg/桶</w:t>
            </w:r>
          </w:p>
        </w:tc>
        <w:tc>
          <w:tcPr>
            <w:tcW w:w="1131" w:type="dxa"/>
            <w:shd w:val="clear" w:color="auto" w:fill="auto"/>
            <w:vAlign w:val="center"/>
          </w:tcPr>
          <w:p w14:paraId="2B87006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5kg/桶</w:t>
            </w:r>
          </w:p>
        </w:tc>
        <w:tc>
          <w:tcPr>
            <w:tcW w:w="802" w:type="dxa"/>
            <w:shd w:val="clear" w:color="auto" w:fill="auto"/>
            <w:vAlign w:val="center"/>
          </w:tcPr>
          <w:p w14:paraId="5EF5096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0.1</w:t>
            </w:r>
          </w:p>
        </w:tc>
        <w:tc>
          <w:tcPr>
            <w:tcW w:w="1128" w:type="dxa"/>
            <w:shd w:val="clear" w:color="auto" w:fill="auto"/>
            <w:vAlign w:val="center"/>
          </w:tcPr>
          <w:p w14:paraId="2EF4614C">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0.385</w:t>
            </w:r>
          </w:p>
        </w:tc>
        <w:tc>
          <w:tcPr>
            <w:tcW w:w="1929" w:type="dxa"/>
            <w:shd w:val="clear" w:color="auto" w:fill="auto"/>
            <w:vAlign w:val="center"/>
          </w:tcPr>
          <w:p w14:paraId="7E77595E">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299C7B10">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4DB3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6A8A806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Vesphene III se Phenolic Disinfectant酚类消毒剂（非无菌碱酚消毒剂）</w:t>
            </w:r>
          </w:p>
        </w:tc>
        <w:tc>
          <w:tcPr>
            <w:tcW w:w="2229" w:type="dxa"/>
            <w:shd w:val="clear" w:color="auto" w:fill="auto"/>
            <w:vAlign w:val="center"/>
          </w:tcPr>
          <w:p w14:paraId="18D31151">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Vesphene III se Phenolic Disinfectant酚类消毒剂（非无菌碱酚消毒剂）</w:t>
            </w:r>
          </w:p>
        </w:tc>
        <w:tc>
          <w:tcPr>
            <w:tcW w:w="654" w:type="dxa"/>
            <w:shd w:val="clear" w:color="auto" w:fill="auto"/>
            <w:vAlign w:val="center"/>
          </w:tcPr>
          <w:p w14:paraId="4BE71B9C">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076941C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27625F05">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4kg/桶</w:t>
            </w:r>
          </w:p>
        </w:tc>
        <w:tc>
          <w:tcPr>
            <w:tcW w:w="1131" w:type="dxa"/>
            <w:shd w:val="clear" w:color="auto" w:fill="auto"/>
            <w:vAlign w:val="center"/>
          </w:tcPr>
          <w:p w14:paraId="6303E00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4kg/桶</w:t>
            </w:r>
          </w:p>
        </w:tc>
        <w:tc>
          <w:tcPr>
            <w:tcW w:w="802" w:type="dxa"/>
            <w:shd w:val="clear" w:color="auto" w:fill="auto"/>
            <w:vAlign w:val="center"/>
          </w:tcPr>
          <w:p w14:paraId="6B9404C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0.18</w:t>
            </w:r>
          </w:p>
        </w:tc>
        <w:tc>
          <w:tcPr>
            <w:tcW w:w="1128" w:type="dxa"/>
            <w:shd w:val="clear" w:color="auto" w:fill="auto"/>
            <w:vAlign w:val="center"/>
          </w:tcPr>
          <w:p w14:paraId="3E673FA5">
            <w:pPr>
              <w:spacing w:beforeLines="0" w:afterLines="0"/>
              <w:jc w:val="center"/>
              <w:rPr>
                <w:rFonts w:hint="default"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highlight w:val="none"/>
                <w:lang w:val="en-US" w:eastAsia="zh-CN" w:bidi="ar-SA"/>
                <w14:textFill>
                  <w14:solidFill>
                    <w14:schemeClr w14:val="tx1"/>
                  </w14:solidFill>
                </w14:textFill>
              </w:rPr>
              <w:t>0</w:t>
            </w:r>
          </w:p>
        </w:tc>
        <w:tc>
          <w:tcPr>
            <w:tcW w:w="1929" w:type="dxa"/>
            <w:shd w:val="clear" w:color="auto" w:fill="auto"/>
            <w:vAlign w:val="center"/>
          </w:tcPr>
          <w:p w14:paraId="09B26FED">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06111DDC">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50AF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vAlign w:val="center"/>
          </w:tcPr>
          <w:p w14:paraId="1ABFC016">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Vesphene III st Phenolic Disinfectant酚类消毒剂（无菌碱酚消毒剂）</w:t>
            </w:r>
          </w:p>
        </w:tc>
        <w:tc>
          <w:tcPr>
            <w:tcW w:w="2229" w:type="dxa"/>
            <w:shd w:val="clear" w:color="auto" w:fill="auto"/>
            <w:vAlign w:val="center"/>
          </w:tcPr>
          <w:p w14:paraId="001E2FF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Vesphene III st Phenolic Disinfectant酚类消毒剂（无菌碱酚消毒剂）</w:t>
            </w:r>
          </w:p>
        </w:tc>
        <w:tc>
          <w:tcPr>
            <w:tcW w:w="654" w:type="dxa"/>
            <w:shd w:val="clear" w:color="auto" w:fill="auto"/>
            <w:vAlign w:val="center"/>
          </w:tcPr>
          <w:p w14:paraId="7537455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4ABA0F7A">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1350B5EC">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0.06kg/包</w:t>
            </w:r>
          </w:p>
        </w:tc>
        <w:tc>
          <w:tcPr>
            <w:tcW w:w="1131" w:type="dxa"/>
            <w:shd w:val="clear" w:color="auto" w:fill="auto"/>
            <w:vAlign w:val="center"/>
          </w:tcPr>
          <w:p w14:paraId="518697F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0.06kg/包</w:t>
            </w:r>
          </w:p>
        </w:tc>
        <w:tc>
          <w:tcPr>
            <w:tcW w:w="802" w:type="dxa"/>
            <w:shd w:val="clear" w:color="auto" w:fill="auto"/>
            <w:vAlign w:val="center"/>
          </w:tcPr>
          <w:p w14:paraId="060EC10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0.06</w:t>
            </w:r>
          </w:p>
        </w:tc>
        <w:tc>
          <w:tcPr>
            <w:tcW w:w="1128" w:type="dxa"/>
            <w:shd w:val="clear" w:color="auto" w:fill="auto"/>
            <w:vAlign w:val="center"/>
          </w:tcPr>
          <w:p w14:paraId="093CD97F">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0</w:t>
            </w:r>
          </w:p>
        </w:tc>
        <w:tc>
          <w:tcPr>
            <w:tcW w:w="1929" w:type="dxa"/>
            <w:shd w:val="clear" w:color="auto" w:fill="auto"/>
            <w:vAlign w:val="center"/>
          </w:tcPr>
          <w:p w14:paraId="183C7F86">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682015BC">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43D3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vMerge w:val="restart"/>
            <w:vAlign w:val="center"/>
          </w:tcPr>
          <w:p w14:paraId="56707302">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过氧化氢</w:t>
            </w:r>
          </w:p>
        </w:tc>
        <w:tc>
          <w:tcPr>
            <w:tcW w:w="2229" w:type="dxa"/>
            <w:vMerge w:val="restart"/>
            <w:shd w:val="clear" w:color="auto" w:fill="auto"/>
            <w:vAlign w:val="center"/>
          </w:tcPr>
          <w:p w14:paraId="4ABA691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过氧化氢</w:t>
            </w:r>
          </w:p>
        </w:tc>
        <w:tc>
          <w:tcPr>
            <w:tcW w:w="654" w:type="dxa"/>
            <w:shd w:val="clear" w:color="auto" w:fill="auto"/>
            <w:vAlign w:val="center"/>
          </w:tcPr>
          <w:p w14:paraId="06A27AF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77A3DFD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4B51398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5L/瓶</w:t>
            </w:r>
          </w:p>
        </w:tc>
        <w:tc>
          <w:tcPr>
            <w:tcW w:w="1131" w:type="dxa"/>
            <w:shd w:val="clear" w:color="auto" w:fill="auto"/>
            <w:vAlign w:val="center"/>
          </w:tcPr>
          <w:p w14:paraId="5356676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5L/瓶</w:t>
            </w:r>
          </w:p>
        </w:tc>
        <w:tc>
          <w:tcPr>
            <w:tcW w:w="802" w:type="dxa"/>
            <w:shd w:val="clear" w:color="auto" w:fill="auto"/>
            <w:vAlign w:val="center"/>
          </w:tcPr>
          <w:p w14:paraId="3D2ED0B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0.462</w:t>
            </w:r>
          </w:p>
        </w:tc>
        <w:tc>
          <w:tcPr>
            <w:tcW w:w="1128" w:type="dxa"/>
            <w:shd w:val="clear" w:color="auto" w:fill="auto"/>
            <w:vAlign w:val="center"/>
          </w:tcPr>
          <w:p w14:paraId="2E5F7526">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0.6</w:t>
            </w:r>
          </w:p>
        </w:tc>
        <w:tc>
          <w:tcPr>
            <w:tcW w:w="1929" w:type="dxa"/>
            <w:shd w:val="clear" w:color="auto" w:fill="auto"/>
            <w:vAlign w:val="center"/>
          </w:tcPr>
          <w:p w14:paraId="3DB5C04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易制爆区储物架</w:t>
            </w:r>
          </w:p>
        </w:tc>
        <w:tc>
          <w:tcPr>
            <w:tcW w:w="1901" w:type="dxa"/>
            <w:shd w:val="clear" w:color="auto" w:fill="auto"/>
            <w:vAlign w:val="center"/>
          </w:tcPr>
          <w:p w14:paraId="4AD15EE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易制爆区储物架</w:t>
            </w:r>
          </w:p>
        </w:tc>
      </w:tr>
      <w:tr w14:paraId="7D51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vMerge w:val="continue"/>
            <w:vAlign w:val="center"/>
          </w:tcPr>
          <w:p w14:paraId="2F453F93">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2229" w:type="dxa"/>
            <w:vMerge w:val="continue"/>
            <w:shd w:val="clear" w:color="auto" w:fill="auto"/>
            <w:vAlign w:val="center"/>
          </w:tcPr>
          <w:p w14:paraId="59112DEE">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654" w:type="dxa"/>
            <w:shd w:val="clear" w:color="auto" w:fill="auto"/>
            <w:vAlign w:val="center"/>
          </w:tcPr>
          <w:p w14:paraId="45DA3E9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1E586B3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37FAC82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2.5L/瓶</w:t>
            </w:r>
          </w:p>
        </w:tc>
        <w:tc>
          <w:tcPr>
            <w:tcW w:w="1131" w:type="dxa"/>
            <w:shd w:val="clear" w:color="auto" w:fill="auto"/>
            <w:vAlign w:val="center"/>
          </w:tcPr>
          <w:p w14:paraId="5145EA6A">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2.5L/瓶</w:t>
            </w:r>
          </w:p>
        </w:tc>
        <w:tc>
          <w:tcPr>
            <w:tcW w:w="802" w:type="dxa"/>
            <w:shd w:val="clear" w:color="auto" w:fill="auto"/>
            <w:vAlign w:val="center"/>
          </w:tcPr>
          <w:p w14:paraId="6CD54F8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0.231</w:t>
            </w:r>
          </w:p>
        </w:tc>
        <w:tc>
          <w:tcPr>
            <w:tcW w:w="1128" w:type="dxa"/>
            <w:shd w:val="clear" w:color="auto" w:fill="auto"/>
            <w:vAlign w:val="center"/>
          </w:tcPr>
          <w:p w14:paraId="394EA338">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0.24</w:t>
            </w:r>
          </w:p>
        </w:tc>
        <w:tc>
          <w:tcPr>
            <w:tcW w:w="1929" w:type="dxa"/>
            <w:shd w:val="clear" w:color="auto" w:fill="auto"/>
            <w:vAlign w:val="center"/>
          </w:tcPr>
          <w:p w14:paraId="15ECA63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易制爆区储物架</w:t>
            </w:r>
          </w:p>
        </w:tc>
        <w:tc>
          <w:tcPr>
            <w:tcW w:w="1901" w:type="dxa"/>
            <w:shd w:val="clear" w:color="auto" w:fill="auto"/>
            <w:vAlign w:val="center"/>
          </w:tcPr>
          <w:p w14:paraId="60F0578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易制爆区储物架</w:t>
            </w:r>
          </w:p>
        </w:tc>
      </w:tr>
      <w:tr w14:paraId="58E0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vMerge w:val="continue"/>
            <w:vAlign w:val="center"/>
          </w:tcPr>
          <w:p w14:paraId="1D8D448B">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2229" w:type="dxa"/>
            <w:vMerge w:val="continue"/>
            <w:shd w:val="clear" w:color="auto" w:fill="auto"/>
            <w:vAlign w:val="center"/>
          </w:tcPr>
          <w:p w14:paraId="70E5F7BD">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654" w:type="dxa"/>
            <w:shd w:val="clear" w:color="auto" w:fill="auto"/>
            <w:vAlign w:val="center"/>
          </w:tcPr>
          <w:p w14:paraId="5B2537CF">
            <w:pPr>
              <w:autoSpaceDE w:val="0"/>
              <w:autoSpaceDN w:val="0"/>
              <w:adjustRightInd w:val="0"/>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液体</w:t>
            </w:r>
          </w:p>
        </w:tc>
        <w:tc>
          <w:tcPr>
            <w:tcW w:w="754" w:type="dxa"/>
            <w:shd w:val="clear" w:color="auto" w:fill="auto"/>
            <w:vAlign w:val="center"/>
          </w:tcPr>
          <w:p w14:paraId="1471213C">
            <w:pPr>
              <w:autoSpaceDE w:val="0"/>
              <w:autoSpaceDN w:val="0"/>
              <w:adjustRightInd w:val="0"/>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液体</w:t>
            </w:r>
          </w:p>
        </w:tc>
        <w:tc>
          <w:tcPr>
            <w:tcW w:w="1131" w:type="dxa"/>
            <w:shd w:val="clear" w:color="auto" w:fill="auto"/>
            <w:vAlign w:val="center"/>
          </w:tcPr>
          <w:p w14:paraId="6CA32FEE">
            <w:pPr>
              <w:autoSpaceDE w:val="0"/>
              <w:autoSpaceDN w:val="0"/>
              <w:adjustRightInd w:val="0"/>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1L/瓶</w:t>
            </w:r>
          </w:p>
        </w:tc>
        <w:tc>
          <w:tcPr>
            <w:tcW w:w="1131" w:type="dxa"/>
            <w:shd w:val="clear" w:color="auto" w:fill="auto"/>
            <w:vAlign w:val="center"/>
          </w:tcPr>
          <w:p w14:paraId="0129B1E1">
            <w:pPr>
              <w:autoSpaceDE w:val="0"/>
              <w:autoSpaceDN w:val="0"/>
              <w:adjustRightInd w:val="0"/>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1L/瓶</w:t>
            </w:r>
          </w:p>
        </w:tc>
        <w:tc>
          <w:tcPr>
            <w:tcW w:w="802" w:type="dxa"/>
            <w:shd w:val="clear" w:color="auto" w:fill="auto"/>
            <w:vAlign w:val="center"/>
          </w:tcPr>
          <w:p w14:paraId="6E7CE788">
            <w:pPr>
              <w:autoSpaceDE w:val="0"/>
              <w:autoSpaceDN w:val="0"/>
              <w:adjustRightInd w:val="0"/>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0.05</w:t>
            </w:r>
          </w:p>
        </w:tc>
        <w:tc>
          <w:tcPr>
            <w:tcW w:w="1128" w:type="dxa"/>
            <w:shd w:val="clear" w:color="auto" w:fill="auto"/>
            <w:vAlign w:val="center"/>
          </w:tcPr>
          <w:p w14:paraId="36F7949B">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0.18</w:t>
            </w:r>
          </w:p>
        </w:tc>
        <w:tc>
          <w:tcPr>
            <w:tcW w:w="1929" w:type="dxa"/>
            <w:shd w:val="clear" w:color="auto" w:fill="auto"/>
            <w:vAlign w:val="center"/>
          </w:tcPr>
          <w:p w14:paraId="052AAA7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易制爆区储物架</w:t>
            </w:r>
          </w:p>
        </w:tc>
        <w:tc>
          <w:tcPr>
            <w:tcW w:w="1901" w:type="dxa"/>
            <w:shd w:val="clear" w:color="auto" w:fill="auto"/>
            <w:vAlign w:val="center"/>
          </w:tcPr>
          <w:p w14:paraId="019142A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易制爆区储物架</w:t>
            </w:r>
          </w:p>
        </w:tc>
      </w:tr>
      <w:tr w14:paraId="3297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FDE5FF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37%盐酸</w:t>
            </w:r>
          </w:p>
        </w:tc>
        <w:tc>
          <w:tcPr>
            <w:tcW w:w="2229" w:type="dxa"/>
            <w:shd w:val="clear" w:color="auto" w:fill="auto"/>
            <w:vAlign w:val="center"/>
          </w:tcPr>
          <w:p w14:paraId="1624289D">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37%盐酸</w:t>
            </w:r>
          </w:p>
        </w:tc>
        <w:tc>
          <w:tcPr>
            <w:tcW w:w="654" w:type="dxa"/>
            <w:shd w:val="clear" w:color="auto" w:fill="auto"/>
            <w:vAlign w:val="center"/>
          </w:tcPr>
          <w:p w14:paraId="5952807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69429B5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6BEDDA6A">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1.17kg/瓶</w:t>
            </w:r>
          </w:p>
        </w:tc>
        <w:tc>
          <w:tcPr>
            <w:tcW w:w="1131" w:type="dxa"/>
            <w:shd w:val="clear" w:color="auto" w:fill="auto"/>
            <w:vAlign w:val="center"/>
          </w:tcPr>
          <w:p w14:paraId="65BA407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1.17kg/瓶</w:t>
            </w:r>
          </w:p>
        </w:tc>
        <w:tc>
          <w:tcPr>
            <w:tcW w:w="802" w:type="dxa"/>
            <w:shd w:val="clear" w:color="auto" w:fill="auto"/>
            <w:vAlign w:val="center"/>
          </w:tcPr>
          <w:p w14:paraId="2A25C7D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0.152</w:t>
            </w:r>
          </w:p>
        </w:tc>
        <w:tc>
          <w:tcPr>
            <w:tcW w:w="1128" w:type="dxa"/>
            <w:shd w:val="clear" w:color="auto" w:fill="auto"/>
            <w:vAlign w:val="center"/>
          </w:tcPr>
          <w:p w14:paraId="5C8B764B">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0.62</w:t>
            </w:r>
          </w:p>
        </w:tc>
        <w:tc>
          <w:tcPr>
            <w:tcW w:w="1929" w:type="dxa"/>
            <w:shd w:val="clear" w:color="auto" w:fill="auto"/>
            <w:vAlign w:val="center"/>
          </w:tcPr>
          <w:p w14:paraId="6BA7A28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3F6C0DA8">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2790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33546D4">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70%酒精</w:t>
            </w:r>
          </w:p>
        </w:tc>
        <w:tc>
          <w:tcPr>
            <w:tcW w:w="2229" w:type="dxa"/>
            <w:shd w:val="clear" w:color="auto" w:fill="auto"/>
            <w:vAlign w:val="center"/>
          </w:tcPr>
          <w:p w14:paraId="3049DBC5">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70%酒精</w:t>
            </w:r>
          </w:p>
        </w:tc>
        <w:tc>
          <w:tcPr>
            <w:tcW w:w="654" w:type="dxa"/>
            <w:shd w:val="clear" w:color="auto" w:fill="auto"/>
            <w:vAlign w:val="center"/>
          </w:tcPr>
          <w:p w14:paraId="2F10FFE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76C23C6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49024EB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1kg/瓶</w:t>
            </w:r>
          </w:p>
        </w:tc>
        <w:tc>
          <w:tcPr>
            <w:tcW w:w="1131" w:type="dxa"/>
            <w:shd w:val="clear" w:color="auto" w:fill="auto"/>
            <w:vAlign w:val="center"/>
          </w:tcPr>
          <w:p w14:paraId="7892423C">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1kg/瓶</w:t>
            </w:r>
          </w:p>
        </w:tc>
        <w:tc>
          <w:tcPr>
            <w:tcW w:w="802" w:type="dxa"/>
            <w:shd w:val="clear" w:color="auto" w:fill="auto"/>
            <w:vAlign w:val="center"/>
          </w:tcPr>
          <w:p w14:paraId="7EFF65F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18.135</w:t>
            </w:r>
          </w:p>
        </w:tc>
        <w:tc>
          <w:tcPr>
            <w:tcW w:w="1128" w:type="dxa"/>
            <w:shd w:val="clear" w:color="auto" w:fill="auto"/>
            <w:vAlign w:val="center"/>
          </w:tcPr>
          <w:p w14:paraId="1EEF0D07">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17.7</w:t>
            </w:r>
          </w:p>
        </w:tc>
        <w:tc>
          <w:tcPr>
            <w:tcW w:w="1929" w:type="dxa"/>
            <w:shd w:val="clear" w:color="auto" w:fill="auto"/>
            <w:vAlign w:val="center"/>
          </w:tcPr>
          <w:p w14:paraId="421E30AE">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36E32D0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59BB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5700AF14">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70%酒精</w:t>
            </w:r>
          </w:p>
        </w:tc>
        <w:tc>
          <w:tcPr>
            <w:tcW w:w="2229" w:type="dxa"/>
            <w:shd w:val="clear" w:color="auto" w:fill="auto"/>
            <w:vAlign w:val="center"/>
          </w:tcPr>
          <w:p w14:paraId="574B723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70%酒精</w:t>
            </w:r>
          </w:p>
        </w:tc>
        <w:tc>
          <w:tcPr>
            <w:tcW w:w="654" w:type="dxa"/>
            <w:shd w:val="clear" w:color="auto" w:fill="auto"/>
            <w:vAlign w:val="center"/>
          </w:tcPr>
          <w:p w14:paraId="52F4607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15DFD32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25CAAFF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5kg/瓶</w:t>
            </w:r>
          </w:p>
        </w:tc>
        <w:tc>
          <w:tcPr>
            <w:tcW w:w="1131" w:type="dxa"/>
            <w:shd w:val="clear" w:color="auto" w:fill="auto"/>
            <w:vAlign w:val="center"/>
          </w:tcPr>
          <w:p w14:paraId="14EC71AA">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5kg/瓶</w:t>
            </w:r>
          </w:p>
        </w:tc>
        <w:tc>
          <w:tcPr>
            <w:tcW w:w="802" w:type="dxa"/>
            <w:shd w:val="clear" w:color="auto" w:fill="auto"/>
            <w:vAlign w:val="center"/>
          </w:tcPr>
          <w:p w14:paraId="038FEB3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3.725</w:t>
            </w:r>
          </w:p>
        </w:tc>
        <w:tc>
          <w:tcPr>
            <w:tcW w:w="1128" w:type="dxa"/>
            <w:shd w:val="clear" w:color="auto" w:fill="auto"/>
            <w:vAlign w:val="center"/>
          </w:tcPr>
          <w:p w14:paraId="1EFF6937">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3.55</w:t>
            </w:r>
          </w:p>
        </w:tc>
        <w:tc>
          <w:tcPr>
            <w:tcW w:w="1929" w:type="dxa"/>
            <w:shd w:val="clear" w:color="auto" w:fill="auto"/>
            <w:vAlign w:val="center"/>
          </w:tcPr>
          <w:p w14:paraId="68F968ED">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15F7758C">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7ABF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00903180">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异丙醇</w:t>
            </w:r>
          </w:p>
        </w:tc>
        <w:tc>
          <w:tcPr>
            <w:tcW w:w="2229" w:type="dxa"/>
            <w:shd w:val="clear" w:color="auto" w:fill="auto"/>
            <w:vAlign w:val="center"/>
          </w:tcPr>
          <w:p w14:paraId="43D83331">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异丙醇</w:t>
            </w:r>
          </w:p>
        </w:tc>
        <w:tc>
          <w:tcPr>
            <w:tcW w:w="654" w:type="dxa"/>
            <w:shd w:val="clear" w:color="auto" w:fill="auto"/>
            <w:vAlign w:val="center"/>
          </w:tcPr>
          <w:p w14:paraId="3E353E2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641A84A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3CD5F7E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1kg/瓶</w:t>
            </w:r>
          </w:p>
        </w:tc>
        <w:tc>
          <w:tcPr>
            <w:tcW w:w="1131" w:type="dxa"/>
            <w:shd w:val="clear" w:color="auto" w:fill="auto"/>
            <w:vAlign w:val="center"/>
          </w:tcPr>
          <w:p w14:paraId="65C9F8C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1kg/瓶</w:t>
            </w:r>
          </w:p>
        </w:tc>
        <w:tc>
          <w:tcPr>
            <w:tcW w:w="802" w:type="dxa"/>
            <w:shd w:val="clear" w:color="auto" w:fill="auto"/>
            <w:vAlign w:val="center"/>
          </w:tcPr>
          <w:p w14:paraId="60571F9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0.48</w:t>
            </w:r>
          </w:p>
        </w:tc>
        <w:tc>
          <w:tcPr>
            <w:tcW w:w="1128" w:type="dxa"/>
            <w:shd w:val="clear" w:color="auto" w:fill="auto"/>
            <w:vAlign w:val="center"/>
          </w:tcPr>
          <w:p w14:paraId="02C728F1">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0</w:t>
            </w:r>
          </w:p>
        </w:tc>
        <w:tc>
          <w:tcPr>
            <w:tcW w:w="1929" w:type="dxa"/>
            <w:shd w:val="clear" w:color="auto" w:fill="auto"/>
            <w:vAlign w:val="center"/>
          </w:tcPr>
          <w:p w14:paraId="7EBE6745">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1D772803">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3694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35E51279">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异丙醇预湿抹布</w:t>
            </w:r>
          </w:p>
        </w:tc>
        <w:tc>
          <w:tcPr>
            <w:tcW w:w="2229" w:type="dxa"/>
            <w:shd w:val="clear" w:color="auto" w:fill="auto"/>
            <w:vAlign w:val="center"/>
          </w:tcPr>
          <w:p w14:paraId="2E343D62">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异丙醇预湿抹布</w:t>
            </w:r>
          </w:p>
        </w:tc>
        <w:tc>
          <w:tcPr>
            <w:tcW w:w="654" w:type="dxa"/>
            <w:shd w:val="clear" w:color="auto" w:fill="auto"/>
            <w:vAlign w:val="center"/>
          </w:tcPr>
          <w:p w14:paraId="1E3FDA81">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601DF8A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08AFC46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10片/包</w:t>
            </w:r>
          </w:p>
        </w:tc>
        <w:tc>
          <w:tcPr>
            <w:tcW w:w="1131" w:type="dxa"/>
            <w:shd w:val="clear" w:color="auto" w:fill="auto"/>
            <w:vAlign w:val="center"/>
          </w:tcPr>
          <w:p w14:paraId="435BF73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10片/包</w:t>
            </w:r>
          </w:p>
        </w:tc>
        <w:tc>
          <w:tcPr>
            <w:tcW w:w="802" w:type="dxa"/>
            <w:shd w:val="clear" w:color="auto" w:fill="auto"/>
            <w:vAlign w:val="center"/>
          </w:tcPr>
          <w:p w14:paraId="1D6E8E1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12500片</w:t>
            </w:r>
          </w:p>
        </w:tc>
        <w:tc>
          <w:tcPr>
            <w:tcW w:w="1128" w:type="dxa"/>
            <w:shd w:val="clear" w:color="auto" w:fill="auto"/>
            <w:vAlign w:val="center"/>
          </w:tcPr>
          <w:p w14:paraId="13F0C79A">
            <w:pPr>
              <w:spacing w:beforeLines="0" w:afterLines="0"/>
              <w:jc w:val="center"/>
              <w:rPr>
                <w:rFonts w:hint="eastAsia"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15000片</w:t>
            </w:r>
          </w:p>
        </w:tc>
        <w:tc>
          <w:tcPr>
            <w:tcW w:w="1929" w:type="dxa"/>
            <w:shd w:val="clear" w:color="auto" w:fill="auto"/>
            <w:vAlign w:val="center"/>
          </w:tcPr>
          <w:p w14:paraId="29325263">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5F7D191F">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6A95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4C597D2E">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次氯酸钠</w:t>
            </w:r>
          </w:p>
        </w:tc>
        <w:tc>
          <w:tcPr>
            <w:tcW w:w="2229" w:type="dxa"/>
            <w:shd w:val="clear" w:color="auto" w:fill="auto"/>
            <w:vAlign w:val="center"/>
          </w:tcPr>
          <w:p w14:paraId="05107F2F">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次氯酸钠</w:t>
            </w:r>
          </w:p>
        </w:tc>
        <w:tc>
          <w:tcPr>
            <w:tcW w:w="654" w:type="dxa"/>
            <w:shd w:val="clear" w:color="auto" w:fill="auto"/>
            <w:vAlign w:val="center"/>
          </w:tcPr>
          <w:p w14:paraId="5EAF36D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1D5F421D">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7559975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12.5kg/桶</w:t>
            </w:r>
          </w:p>
        </w:tc>
        <w:tc>
          <w:tcPr>
            <w:tcW w:w="1131" w:type="dxa"/>
            <w:shd w:val="clear" w:color="auto" w:fill="auto"/>
            <w:vAlign w:val="center"/>
          </w:tcPr>
          <w:p w14:paraId="483136C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12.5kg/桶</w:t>
            </w:r>
          </w:p>
        </w:tc>
        <w:tc>
          <w:tcPr>
            <w:tcW w:w="802" w:type="dxa"/>
            <w:shd w:val="clear" w:color="auto" w:fill="auto"/>
            <w:vAlign w:val="center"/>
          </w:tcPr>
          <w:p w14:paraId="108A9C7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0.25</w:t>
            </w:r>
          </w:p>
        </w:tc>
        <w:tc>
          <w:tcPr>
            <w:tcW w:w="1128" w:type="dxa"/>
            <w:shd w:val="clear" w:color="auto" w:fill="auto"/>
            <w:vAlign w:val="center"/>
          </w:tcPr>
          <w:p w14:paraId="039CE0BA">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0.25</w:t>
            </w:r>
          </w:p>
        </w:tc>
        <w:tc>
          <w:tcPr>
            <w:tcW w:w="1929" w:type="dxa"/>
            <w:shd w:val="clear" w:color="auto" w:fill="auto"/>
            <w:vAlign w:val="center"/>
          </w:tcPr>
          <w:p w14:paraId="38C29C9A">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c>
          <w:tcPr>
            <w:tcW w:w="1901" w:type="dxa"/>
            <w:shd w:val="clear" w:color="auto" w:fill="auto"/>
            <w:vAlign w:val="center"/>
          </w:tcPr>
          <w:p w14:paraId="375A5AA5">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r>
      <w:tr w14:paraId="25F9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A36C179">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缓蚀阻垢剂</w:t>
            </w:r>
          </w:p>
        </w:tc>
        <w:tc>
          <w:tcPr>
            <w:tcW w:w="2229" w:type="dxa"/>
            <w:shd w:val="clear" w:color="auto" w:fill="auto"/>
            <w:vAlign w:val="center"/>
          </w:tcPr>
          <w:p w14:paraId="67169CD3">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缓蚀阻垢剂</w:t>
            </w:r>
          </w:p>
        </w:tc>
        <w:tc>
          <w:tcPr>
            <w:tcW w:w="654" w:type="dxa"/>
            <w:shd w:val="clear" w:color="auto" w:fill="auto"/>
            <w:vAlign w:val="center"/>
          </w:tcPr>
          <w:p w14:paraId="72140C9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55B8669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6426D841">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25kg/桶</w:t>
            </w:r>
          </w:p>
        </w:tc>
        <w:tc>
          <w:tcPr>
            <w:tcW w:w="1131" w:type="dxa"/>
            <w:shd w:val="clear" w:color="auto" w:fill="auto"/>
            <w:vAlign w:val="center"/>
          </w:tcPr>
          <w:p w14:paraId="599F909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25kg/桶</w:t>
            </w:r>
          </w:p>
        </w:tc>
        <w:tc>
          <w:tcPr>
            <w:tcW w:w="802" w:type="dxa"/>
            <w:shd w:val="clear" w:color="auto" w:fill="auto"/>
            <w:vAlign w:val="center"/>
          </w:tcPr>
          <w:p w14:paraId="7270DF6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0.25</w:t>
            </w:r>
          </w:p>
        </w:tc>
        <w:tc>
          <w:tcPr>
            <w:tcW w:w="1128" w:type="dxa"/>
            <w:shd w:val="clear" w:color="auto" w:fill="auto"/>
            <w:vAlign w:val="center"/>
          </w:tcPr>
          <w:p w14:paraId="0D1D724D">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0.25</w:t>
            </w:r>
          </w:p>
        </w:tc>
        <w:tc>
          <w:tcPr>
            <w:tcW w:w="1929" w:type="dxa"/>
            <w:shd w:val="clear" w:color="auto" w:fill="auto"/>
            <w:vAlign w:val="center"/>
          </w:tcPr>
          <w:p w14:paraId="23737956">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c>
          <w:tcPr>
            <w:tcW w:w="1901" w:type="dxa"/>
            <w:shd w:val="clear" w:color="auto" w:fill="auto"/>
            <w:vAlign w:val="center"/>
          </w:tcPr>
          <w:p w14:paraId="64D6F30E">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r>
      <w:tr w14:paraId="5929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4D79F80">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聚合氯化铝</w:t>
            </w:r>
          </w:p>
        </w:tc>
        <w:tc>
          <w:tcPr>
            <w:tcW w:w="2229" w:type="dxa"/>
            <w:shd w:val="clear" w:color="auto" w:fill="auto"/>
            <w:vAlign w:val="center"/>
          </w:tcPr>
          <w:p w14:paraId="3B454329">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聚合氯化铝</w:t>
            </w:r>
          </w:p>
        </w:tc>
        <w:tc>
          <w:tcPr>
            <w:tcW w:w="654" w:type="dxa"/>
            <w:shd w:val="clear" w:color="auto" w:fill="auto"/>
            <w:vAlign w:val="center"/>
          </w:tcPr>
          <w:p w14:paraId="2A48EED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71AF1F6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5650413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25kg/袋</w:t>
            </w:r>
          </w:p>
        </w:tc>
        <w:tc>
          <w:tcPr>
            <w:tcW w:w="1131" w:type="dxa"/>
            <w:shd w:val="clear" w:color="auto" w:fill="auto"/>
            <w:vAlign w:val="center"/>
          </w:tcPr>
          <w:p w14:paraId="1986E26C">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25kg/桶</w:t>
            </w:r>
          </w:p>
        </w:tc>
        <w:tc>
          <w:tcPr>
            <w:tcW w:w="802" w:type="dxa"/>
            <w:shd w:val="clear" w:color="auto" w:fill="auto"/>
            <w:vAlign w:val="center"/>
          </w:tcPr>
          <w:p w14:paraId="5EEFFA8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1.25</w:t>
            </w:r>
          </w:p>
        </w:tc>
        <w:tc>
          <w:tcPr>
            <w:tcW w:w="1128" w:type="dxa"/>
            <w:shd w:val="clear" w:color="auto" w:fill="auto"/>
            <w:vAlign w:val="center"/>
          </w:tcPr>
          <w:p w14:paraId="139C9FF4">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1.25</w:t>
            </w:r>
          </w:p>
        </w:tc>
        <w:tc>
          <w:tcPr>
            <w:tcW w:w="1929" w:type="dxa"/>
            <w:shd w:val="clear" w:color="auto" w:fill="auto"/>
            <w:vAlign w:val="center"/>
          </w:tcPr>
          <w:p w14:paraId="52A2EAE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c>
          <w:tcPr>
            <w:tcW w:w="1901" w:type="dxa"/>
            <w:shd w:val="clear" w:color="auto" w:fill="auto"/>
            <w:vAlign w:val="center"/>
          </w:tcPr>
          <w:p w14:paraId="231E182F">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r>
      <w:tr w14:paraId="6D23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5185ED1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氯化钙</w:t>
            </w:r>
          </w:p>
        </w:tc>
        <w:tc>
          <w:tcPr>
            <w:tcW w:w="2229" w:type="dxa"/>
            <w:shd w:val="clear" w:color="auto" w:fill="auto"/>
            <w:vAlign w:val="center"/>
          </w:tcPr>
          <w:p w14:paraId="366F0DF8">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氯化钙</w:t>
            </w:r>
          </w:p>
        </w:tc>
        <w:tc>
          <w:tcPr>
            <w:tcW w:w="654" w:type="dxa"/>
            <w:shd w:val="clear" w:color="auto" w:fill="auto"/>
            <w:vAlign w:val="center"/>
          </w:tcPr>
          <w:p w14:paraId="35D69FF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02ABBBB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6960DDA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25kg/袋</w:t>
            </w:r>
          </w:p>
        </w:tc>
        <w:tc>
          <w:tcPr>
            <w:tcW w:w="1131" w:type="dxa"/>
            <w:shd w:val="clear" w:color="auto" w:fill="auto"/>
            <w:vAlign w:val="center"/>
          </w:tcPr>
          <w:p w14:paraId="0563798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25kg/桶</w:t>
            </w:r>
          </w:p>
        </w:tc>
        <w:tc>
          <w:tcPr>
            <w:tcW w:w="802" w:type="dxa"/>
            <w:shd w:val="clear" w:color="auto" w:fill="auto"/>
            <w:vAlign w:val="center"/>
          </w:tcPr>
          <w:p w14:paraId="4413DC1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1.25</w:t>
            </w:r>
          </w:p>
        </w:tc>
        <w:tc>
          <w:tcPr>
            <w:tcW w:w="1128" w:type="dxa"/>
            <w:shd w:val="clear" w:color="auto" w:fill="auto"/>
            <w:vAlign w:val="center"/>
          </w:tcPr>
          <w:p w14:paraId="7E91FA23">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1.25</w:t>
            </w:r>
          </w:p>
        </w:tc>
        <w:tc>
          <w:tcPr>
            <w:tcW w:w="1929" w:type="dxa"/>
            <w:shd w:val="clear" w:color="auto" w:fill="auto"/>
            <w:vAlign w:val="center"/>
          </w:tcPr>
          <w:p w14:paraId="209E142B">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c>
          <w:tcPr>
            <w:tcW w:w="1901" w:type="dxa"/>
            <w:shd w:val="clear" w:color="auto" w:fill="auto"/>
            <w:vAlign w:val="center"/>
          </w:tcPr>
          <w:p w14:paraId="6B64261C">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r>
      <w:tr w14:paraId="764C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3AC04308">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PAM（聚丙烯酰胺）</w:t>
            </w:r>
          </w:p>
        </w:tc>
        <w:tc>
          <w:tcPr>
            <w:tcW w:w="2229" w:type="dxa"/>
            <w:shd w:val="clear" w:color="auto" w:fill="auto"/>
            <w:vAlign w:val="center"/>
          </w:tcPr>
          <w:p w14:paraId="1B0F303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PAM（聚丙烯酰胺）</w:t>
            </w:r>
          </w:p>
        </w:tc>
        <w:tc>
          <w:tcPr>
            <w:tcW w:w="654" w:type="dxa"/>
            <w:shd w:val="clear" w:color="auto" w:fill="auto"/>
            <w:vAlign w:val="center"/>
          </w:tcPr>
          <w:p w14:paraId="5DCF28C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754" w:type="dxa"/>
            <w:shd w:val="clear" w:color="auto" w:fill="auto"/>
            <w:vAlign w:val="center"/>
          </w:tcPr>
          <w:p w14:paraId="04D6B62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固体</w:t>
            </w:r>
          </w:p>
        </w:tc>
        <w:tc>
          <w:tcPr>
            <w:tcW w:w="1131" w:type="dxa"/>
            <w:shd w:val="clear" w:color="auto" w:fill="auto"/>
            <w:vAlign w:val="center"/>
          </w:tcPr>
          <w:p w14:paraId="2B9D6AD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25kg/袋</w:t>
            </w:r>
          </w:p>
        </w:tc>
        <w:tc>
          <w:tcPr>
            <w:tcW w:w="1131" w:type="dxa"/>
            <w:shd w:val="clear" w:color="auto" w:fill="auto"/>
            <w:vAlign w:val="center"/>
          </w:tcPr>
          <w:p w14:paraId="7ECFECF8">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25kg/桶</w:t>
            </w:r>
          </w:p>
        </w:tc>
        <w:tc>
          <w:tcPr>
            <w:tcW w:w="802" w:type="dxa"/>
            <w:shd w:val="clear" w:color="auto" w:fill="auto"/>
            <w:vAlign w:val="center"/>
          </w:tcPr>
          <w:p w14:paraId="338ABD1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0.25</w:t>
            </w:r>
          </w:p>
        </w:tc>
        <w:tc>
          <w:tcPr>
            <w:tcW w:w="1128" w:type="dxa"/>
            <w:shd w:val="clear" w:color="auto" w:fill="auto"/>
            <w:vAlign w:val="center"/>
          </w:tcPr>
          <w:p w14:paraId="62EEC8A4">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0.25</w:t>
            </w:r>
          </w:p>
        </w:tc>
        <w:tc>
          <w:tcPr>
            <w:tcW w:w="1929" w:type="dxa"/>
            <w:shd w:val="clear" w:color="auto" w:fill="auto"/>
            <w:vAlign w:val="center"/>
          </w:tcPr>
          <w:p w14:paraId="6797A916">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c>
          <w:tcPr>
            <w:tcW w:w="1901" w:type="dxa"/>
            <w:shd w:val="clear" w:color="auto" w:fill="auto"/>
            <w:vAlign w:val="center"/>
          </w:tcPr>
          <w:p w14:paraId="6E6B6065">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药剂间</w:t>
            </w:r>
          </w:p>
        </w:tc>
      </w:tr>
      <w:tr w14:paraId="6C1A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7514E292">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异丙醇</w:t>
            </w:r>
          </w:p>
        </w:tc>
        <w:tc>
          <w:tcPr>
            <w:tcW w:w="2229" w:type="dxa"/>
            <w:shd w:val="clear" w:color="auto" w:fill="auto"/>
            <w:vAlign w:val="center"/>
          </w:tcPr>
          <w:p w14:paraId="7E3C32D2">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异丙醇</w:t>
            </w:r>
          </w:p>
        </w:tc>
        <w:tc>
          <w:tcPr>
            <w:tcW w:w="654" w:type="dxa"/>
            <w:shd w:val="clear" w:color="auto" w:fill="auto"/>
            <w:vAlign w:val="top"/>
          </w:tcPr>
          <w:p w14:paraId="0709B110">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top"/>
          </w:tcPr>
          <w:p w14:paraId="70F679F1">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512BE8B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3.2kg/桶</w:t>
            </w:r>
          </w:p>
        </w:tc>
        <w:tc>
          <w:tcPr>
            <w:tcW w:w="1131" w:type="dxa"/>
            <w:shd w:val="clear" w:color="auto" w:fill="auto"/>
            <w:vAlign w:val="center"/>
          </w:tcPr>
          <w:p w14:paraId="432CBA5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3.2kg/桶</w:t>
            </w:r>
          </w:p>
        </w:tc>
        <w:tc>
          <w:tcPr>
            <w:tcW w:w="802" w:type="dxa"/>
            <w:shd w:val="clear" w:color="auto" w:fill="auto"/>
            <w:vAlign w:val="center"/>
          </w:tcPr>
          <w:p w14:paraId="5D3536E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0.013</w:t>
            </w:r>
          </w:p>
        </w:tc>
        <w:tc>
          <w:tcPr>
            <w:tcW w:w="1128" w:type="dxa"/>
            <w:shd w:val="clear" w:color="auto" w:fill="auto"/>
            <w:vAlign w:val="center"/>
          </w:tcPr>
          <w:p w14:paraId="0355272E">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0.077</w:t>
            </w:r>
          </w:p>
        </w:tc>
        <w:tc>
          <w:tcPr>
            <w:tcW w:w="1929" w:type="dxa"/>
            <w:shd w:val="clear" w:color="auto" w:fill="auto"/>
            <w:vAlign w:val="center"/>
          </w:tcPr>
          <w:p w14:paraId="7D4A1DC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0F774A08">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00C6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7B9BC021">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99.9%酒精</w:t>
            </w:r>
          </w:p>
        </w:tc>
        <w:tc>
          <w:tcPr>
            <w:tcW w:w="2229" w:type="dxa"/>
            <w:shd w:val="clear" w:color="auto" w:fill="auto"/>
            <w:vAlign w:val="center"/>
          </w:tcPr>
          <w:p w14:paraId="248E036B">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99.9%酒精</w:t>
            </w:r>
          </w:p>
        </w:tc>
        <w:tc>
          <w:tcPr>
            <w:tcW w:w="654" w:type="dxa"/>
            <w:shd w:val="clear" w:color="auto" w:fill="auto"/>
            <w:vAlign w:val="top"/>
          </w:tcPr>
          <w:p w14:paraId="519A4133">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top"/>
          </w:tcPr>
          <w:p w14:paraId="53BA2753">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082CEB2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2.25kg/桶</w:t>
            </w:r>
          </w:p>
        </w:tc>
        <w:tc>
          <w:tcPr>
            <w:tcW w:w="1131" w:type="dxa"/>
            <w:shd w:val="clear" w:color="auto" w:fill="auto"/>
            <w:vAlign w:val="center"/>
          </w:tcPr>
          <w:p w14:paraId="55699D38">
            <w:pPr>
              <w:autoSpaceDE w:val="0"/>
              <w:autoSpaceDN w:val="0"/>
              <w:adjustRightInd w:val="0"/>
              <w:jc w:val="center"/>
              <w:rPr>
                <w:rFonts w:hint="eastAsia"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lang w:val="en-US" w:eastAsia="zh-CN"/>
                <w14:textFill>
                  <w14:solidFill>
                    <w14:schemeClr w14:val="tx1"/>
                  </w14:solidFill>
                </w14:textFill>
              </w:rPr>
              <w:t>5L</w:t>
            </w:r>
            <w:r>
              <w:rPr>
                <w:rFonts w:hint="default" w:ascii="Times New Roman" w:hAnsi="Times New Roman" w:cs="Times New Roman"/>
                <w:color w:val="000000" w:themeColor="text1"/>
                <w:kern w:val="0"/>
                <w:sz w:val="21"/>
                <w:szCs w:val="21"/>
                <w14:textFill>
                  <w14:solidFill>
                    <w14:schemeClr w14:val="tx1"/>
                  </w14:solidFill>
                </w14:textFill>
              </w:rPr>
              <w:t>/</w:t>
            </w:r>
            <w:r>
              <w:rPr>
                <w:rFonts w:hint="eastAsia" w:ascii="Times New Roman" w:hAnsi="Times New Roman" w:cs="Times New Roman"/>
                <w:color w:val="000000" w:themeColor="text1"/>
                <w:kern w:val="0"/>
                <w:sz w:val="21"/>
                <w:szCs w:val="21"/>
                <w:lang w:val="en-US" w:eastAsia="zh-CN"/>
                <w14:textFill>
                  <w14:solidFill>
                    <w14:schemeClr w14:val="tx1"/>
                  </w14:solidFill>
                </w14:textFill>
              </w:rPr>
              <w:t>箱</w:t>
            </w:r>
          </w:p>
        </w:tc>
        <w:tc>
          <w:tcPr>
            <w:tcW w:w="802" w:type="dxa"/>
            <w:shd w:val="clear" w:color="auto" w:fill="auto"/>
            <w:vAlign w:val="center"/>
          </w:tcPr>
          <w:p w14:paraId="1CA73E7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0.007</w:t>
            </w:r>
          </w:p>
        </w:tc>
        <w:tc>
          <w:tcPr>
            <w:tcW w:w="1128" w:type="dxa"/>
            <w:shd w:val="clear" w:color="auto" w:fill="auto"/>
            <w:vAlign w:val="center"/>
          </w:tcPr>
          <w:p w14:paraId="3BA66A43">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0.054</w:t>
            </w:r>
          </w:p>
        </w:tc>
        <w:tc>
          <w:tcPr>
            <w:tcW w:w="1929" w:type="dxa"/>
            <w:shd w:val="clear" w:color="auto" w:fill="auto"/>
            <w:vAlign w:val="center"/>
          </w:tcPr>
          <w:p w14:paraId="0BD23238">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33A278B1">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02FE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2AAE1A11">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96%酒精</w:t>
            </w:r>
          </w:p>
        </w:tc>
        <w:tc>
          <w:tcPr>
            <w:tcW w:w="2229" w:type="dxa"/>
            <w:shd w:val="clear" w:color="auto" w:fill="auto"/>
            <w:vAlign w:val="center"/>
          </w:tcPr>
          <w:p w14:paraId="22A12A1E">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96%酒精</w:t>
            </w:r>
          </w:p>
        </w:tc>
        <w:tc>
          <w:tcPr>
            <w:tcW w:w="654" w:type="dxa"/>
            <w:shd w:val="clear" w:color="auto" w:fill="auto"/>
            <w:vAlign w:val="top"/>
          </w:tcPr>
          <w:p w14:paraId="3CD977EB">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top"/>
          </w:tcPr>
          <w:p w14:paraId="4293B1EC">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08540F6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2.25kg/桶</w:t>
            </w:r>
          </w:p>
        </w:tc>
        <w:tc>
          <w:tcPr>
            <w:tcW w:w="1131" w:type="dxa"/>
            <w:shd w:val="clear" w:color="auto" w:fill="auto"/>
            <w:vAlign w:val="center"/>
          </w:tcPr>
          <w:p w14:paraId="6968ECC1">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w:t>
            </w:r>
            <w:r>
              <w:rPr>
                <w:rFonts w:hint="eastAsia" w:ascii="Times New Roman" w:hAnsi="Times New Roman" w:cs="Times New Roman"/>
                <w:color w:val="000000" w:themeColor="text1"/>
                <w:kern w:val="0"/>
                <w:sz w:val="21"/>
                <w:szCs w:val="21"/>
                <w:lang w:val="en-US" w:eastAsia="zh-CN"/>
                <w14:textFill>
                  <w14:solidFill>
                    <w14:schemeClr w14:val="tx1"/>
                  </w14:solidFill>
                </w14:textFill>
              </w:rPr>
              <w:t>5L</w:t>
            </w:r>
            <w:r>
              <w:rPr>
                <w:rFonts w:hint="default" w:ascii="Times New Roman" w:hAnsi="Times New Roman" w:cs="Times New Roman"/>
                <w:color w:val="000000" w:themeColor="text1"/>
                <w:kern w:val="0"/>
                <w:sz w:val="21"/>
                <w:szCs w:val="21"/>
                <w14:textFill>
                  <w14:solidFill>
                    <w14:schemeClr w14:val="tx1"/>
                  </w14:solidFill>
                </w14:textFill>
              </w:rPr>
              <w:t>/</w:t>
            </w:r>
            <w:r>
              <w:rPr>
                <w:rFonts w:hint="eastAsia" w:ascii="Times New Roman" w:hAnsi="Times New Roman" w:cs="Times New Roman"/>
                <w:color w:val="000000" w:themeColor="text1"/>
                <w:kern w:val="0"/>
                <w:sz w:val="21"/>
                <w:szCs w:val="21"/>
                <w:lang w:val="en-US" w:eastAsia="zh-CN"/>
                <w14:textFill>
                  <w14:solidFill>
                    <w14:schemeClr w14:val="tx1"/>
                  </w14:solidFill>
                </w14:textFill>
              </w:rPr>
              <w:t>箱</w:t>
            </w:r>
          </w:p>
        </w:tc>
        <w:tc>
          <w:tcPr>
            <w:tcW w:w="802" w:type="dxa"/>
            <w:shd w:val="clear" w:color="auto" w:fill="auto"/>
            <w:vAlign w:val="center"/>
          </w:tcPr>
          <w:p w14:paraId="1309A112">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0.009</w:t>
            </w:r>
          </w:p>
        </w:tc>
        <w:tc>
          <w:tcPr>
            <w:tcW w:w="1128" w:type="dxa"/>
            <w:shd w:val="clear" w:color="auto" w:fill="auto"/>
            <w:vAlign w:val="center"/>
          </w:tcPr>
          <w:p w14:paraId="11BB8E09">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0.054</w:t>
            </w:r>
          </w:p>
        </w:tc>
        <w:tc>
          <w:tcPr>
            <w:tcW w:w="1929" w:type="dxa"/>
            <w:shd w:val="clear" w:color="auto" w:fill="auto"/>
            <w:vAlign w:val="center"/>
          </w:tcPr>
          <w:p w14:paraId="606DEA3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316BFC93">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6535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39165336">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乙腈</w:t>
            </w:r>
          </w:p>
        </w:tc>
        <w:tc>
          <w:tcPr>
            <w:tcW w:w="2229" w:type="dxa"/>
            <w:shd w:val="clear" w:color="auto" w:fill="auto"/>
            <w:vAlign w:val="center"/>
          </w:tcPr>
          <w:p w14:paraId="7F542D82">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乙腈</w:t>
            </w:r>
          </w:p>
        </w:tc>
        <w:tc>
          <w:tcPr>
            <w:tcW w:w="654" w:type="dxa"/>
            <w:shd w:val="clear" w:color="auto" w:fill="auto"/>
            <w:vAlign w:val="top"/>
          </w:tcPr>
          <w:p w14:paraId="570579F0">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top"/>
          </w:tcPr>
          <w:p w14:paraId="4453C950">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33E4E555">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3.16kg/桶</w:t>
            </w:r>
          </w:p>
        </w:tc>
        <w:tc>
          <w:tcPr>
            <w:tcW w:w="1131" w:type="dxa"/>
            <w:shd w:val="clear" w:color="auto" w:fill="auto"/>
            <w:vAlign w:val="center"/>
          </w:tcPr>
          <w:p w14:paraId="6D53B0C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3.16kg/桶</w:t>
            </w:r>
          </w:p>
        </w:tc>
        <w:tc>
          <w:tcPr>
            <w:tcW w:w="802" w:type="dxa"/>
            <w:shd w:val="clear" w:color="auto" w:fill="auto"/>
            <w:vAlign w:val="center"/>
          </w:tcPr>
          <w:p w14:paraId="2E96D07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0.02</w:t>
            </w:r>
          </w:p>
        </w:tc>
        <w:tc>
          <w:tcPr>
            <w:tcW w:w="1128" w:type="dxa"/>
            <w:shd w:val="clear" w:color="auto" w:fill="auto"/>
            <w:vAlign w:val="center"/>
          </w:tcPr>
          <w:p w14:paraId="7E2B139D">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0.152</w:t>
            </w:r>
          </w:p>
        </w:tc>
        <w:tc>
          <w:tcPr>
            <w:tcW w:w="1929" w:type="dxa"/>
            <w:shd w:val="clear" w:color="auto" w:fill="auto"/>
            <w:vAlign w:val="center"/>
          </w:tcPr>
          <w:p w14:paraId="607C6D90">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c>
          <w:tcPr>
            <w:tcW w:w="1901" w:type="dxa"/>
            <w:shd w:val="clear" w:color="auto" w:fill="auto"/>
            <w:vAlign w:val="center"/>
          </w:tcPr>
          <w:p w14:paraId="506E5422">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甲类库区储物架</w:t>
            </w:r>
          </w:p>
        </w:tc>
      </w:tr>
      <w:tr w14:paraId="66E9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60F52F18">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醋酸</w:t>
            </w:r>
          </w:p>
        </w:tc>
        <w:tc>
          <w:tcPr>
            <w:tcW w:w="2229" w:type="dxa"/>
            <w:shd w:val="clear" w:color="auto" w:fill="auto"/>
            <w:vAlign w:val="center"/>
          </w:tcPr>
          <w:p w14:paraId="41600789">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醋酸</w:t>
            </w:r>
          </w:p>
        </w:tc>
        <w:tc>
          <w:tcPr>
            <w:tcW w:w="654" w:type="dxa"/>
            <w:shd w:val="clear" w:color="auto" w:fill="auto"/>
            <w:vAlign w:val="top"/>
          </w:tcPr>
          <w:p w14:paraId="29063A9C">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top"/>
          </w:tcPr>
          <w:p w14:paraId="4CCD1E9F">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745FF07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2.625kg/桶</w:t>
            </w:r>
          </w:p>
        </w:tc>
        <w:tc>
          <w:tcPr>
            <w:tcW w:w="1131" w:type="dxa"/>
            <w:shd w:val="clear" w:color="auto" w:fill="auto"/>
            <w:vAlign w:val="center"/>
          </w:tcPr>
          <w:p w14:paraId="5BB7C43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2.625kg/桶</w:t>
            </w:r>
          </w:p>
        </w:tc>
        <w:tc>
          <w:tcPr>
            <w:tcW w:w="802" w:type="dxa"/>
            <w:shd w:val="clear" w:color="auto" w:fill="auto"/>
            <w:vAlign w:val="center"/>
          </w:tcPr>
          <w:p w14:paraId="0C71448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0.01</w:t>
            </w:r>
          </w:p>
        </w:tc>
        <w:tc>
          <w:tcPr>
            <w:tcW w:w="1128" w:type="dxa"/>
            <w:shd w:val="clear" w:color="auto" w:fill="auto"/>
            <w:vAlign w:val="center"/>
          </w:tcPr>
          <w:p w14:paraId="553C3DBB">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0.189</w:t>
            </w:r>
          </w:p>
        </w:tc>
        <w:tc>
          <w:tcPr>
            <w:tcW w:w="1929" w:type="dxa"/>
            <w:shd w:val="clear" w:color="auto" w:fill="auto"/>
            <w:vAlign w:val="center"/>
          </w:tcPr>
          <w:p w14:paraId="074F716C">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甲类库恒温箱</w:t>
            </w:r>
          </w:p>
        </w:tc>
        <w:tc>
          <w:tcPr>
            <w:tcW w:w="1901" w:type="dxa"/>
            <w:shd w:val="clear" w:color="auto" w:fill="auto"/>
            <w:vAlign w:val="center"/>
          </w:tcPr>
          <w:p w14:paraId="65071AA4">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甲类库恒温箱</w:t>
            </w:r>
          </w:p>
        </w:tc>
      </w:tr>
      <w:tr w14:paraId="1701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3FC220A7">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废胰岛素</w:t>
            </w:r>
          </w:p>
        </w:tc>
        <w:tc>
          <w:tcPr>
            <w:tcW w:w="2229" w:type="dxa"/>
            <w:shd w:val="clear" w:color="auto" w:fill="auto"/>
            <w:vAlign w:val="center"/>
          </w:tcPr>
          <w:p w14:paraId="18A12B1F">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废胰岛素</w:t>
            </w:r>
          </w:p>
        </w:tc>
        <w:tc>
          <w:tcPr>
            <w:tcW w:w="654" w:type="dxa"/>
            <w:shd w:val="clear" w:color="auto" w:fill="auto"/>
            <w:vAlign w:val="center"/>
          </w:tcPr>
          <w:p w14:paraId="257F9FF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345F9EDB">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527D364E">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200kg/桶</w:t>
            </w:r>
          </w:p>
        </w:tc>
        <w:tc>
          <w:tcPr>
            <w:tcW w:w="1131" w:type="dxa"/>
            <w:shd w:val="clear" w:color="auto" w:fill="auto"/>
            <w:vAlign w:val="center"/>
          </w:tcPr>
          <w:p w14:paraId="6373707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200kg/桶</w:t>
            </w:r>
          </w:p>
        </w:tc>
        <w:tc>
          <w:tcPr>
            <w:tcW w:w="802" w:type="dxa"/>
            <w:shd w:val="clear" w:color="auto" w:fill="auto"/>
            <w:vAlign w:val="center"/>
          </w:tcPr>
          <w:p w14:paraId="2E55B04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0.4</w:t>
            </w:r>
          </w:p>
        </w:tc>
        <w:tc>
          <w:tcPr>
            <w:tcW w:w="1128" w:type="dxa"/>
            <w:shd w:val="clear" w:color="auto" w:fill="auto"/>
            <w:vAlign w:val="center"/>
          </w:tcPr>
          <w:p w14:paraId="6EC84CB6">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0.51</w:t>
            </w:r>
          </w:p>
        </w:tc>
        <w:tc>
          <w:tcPr>
            <w:tcW w:w="1929" w:type="dxa"/>
            <w:shd w:val="clear" w:color="auto" w:fill="auto"/>
            <w:vAlign w:val="center"/>
          </w:tcPr>
          <w:p w14:paraId="747BF170">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危险废物间</w:t>
            </w:r>
          </w:p>
        </w:tc>
        <w:tc>
          <w:tcPr>
            <w:tcW w:w="1901" w:type="dxa"/>
            <w:shd w:val="clear" w:color="auto" w:fill="auto"/>
            <w:vAlign w:val="center"/>
          </w:tcPr>
          <w:p w14:paraId="77FBE3FA">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危险废物间</w:t>
            </w:r>
          </w:p>
        </w:tc>
      </w:tr>
      <w:tr w14:paraId="5845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427E20C3">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废油</w:t>
            </w:r>
            <w:r>
              <w:rPr>
                <w:rFonts w:hint="default" w:ascii="Times New Roman" w:hAnsi="Times New Roman" w:cs="Times New Roman"/>
                <w:color w:val="000000" w:themeColor="text1"/>
                <w:sz w:val="21"/>
                <w:szCs w:val="21"/>
                <w14:textFill>
                  <w14:solidFill>
                    <w14:schemeClr w14:val="tx1"/>
                  </w14:solidFill>
                </w14:textFill>
              </w:rPr>
              <w:t>（机油、润滑油）</w:t>
            </w:r>
          </w:p>
        </w:tc>
        <w:tc>
          <w:tcPr>
            <w:tcW w:w="2229" w:type="dxa"/>
            <w:shd w:val="clear" w:color="auto" w:fill="auto"/>
            <w:vAlign w:val="center"/>
          </w:tcPr>
          <w:p w14:paraId="0E6C749C">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废油</w:t>
            </w:r>
            <w:r>
              <w:rPr>
                <w:rFonts w:hint="default" w:ascii="Times New Roman" w:hAnsi="Times New Roman" w:cs="Times New Roman"/>
                <w:color w:val="000000" w:themeColor="text1"/>
                <w:sz w:val="21"/>
                <w:szCs w:val="21"/>
                <w14:textFill>
                  <w14:solidFill>
                    <w14:schemeClr w14:val="tx1"/>
                  </w14:solidFill>
                </w14:textFill>
              </w:rPr>
              <w:t>（机油、润滑油）</w:t>
            </w:r>
          </w:p>
        </w:tc>
        <w:tc>
          <w:tcPr>
            <w:tcW w:w="654" w:type="dxa"/>
            <w:shd w:val="clear" w:color="auto" w:fill="auto"/>
            <w:vAlign w:val="center"/>
          </w:tcPr>
          <w:p w14:paraId="170FC3D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754" w:type="dxa"/>
            <w:shd w:val="clear" w:color="auto" w:fill="auto"/>
            <w:vAlign w:val="center"/>
          </w:tcPr>
          <w:p w14:paraId="4E353AA6">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w:t>
            </w:r>
          </w:p>
        </w:tc>
        <w:tc>
          <w:tcPr>
            <w:tcW w:w="1131" w:type="dxa"/>
            <w:shd w:val="clear" w:color="auto" w:fill="auto"/>
            <w:vAlign w:val="center"/>
          </w:tcPr>
          <w:p w14:paraId="772BB37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200kg/桶</w:t>
            </w:r>
          </w:p>
        </w:tc>
        <w:tc>
          <w:tcPr>
            <w:tcW w:w="1131" w:type="dxa"/>
            <w:shd w:val="clear" w:color="auto" w:fill="auto"/>
            <w:vAlign w:val="center"/>
          </w:tcPr>
          <w:p w14:paraId="482F5D4F">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200kg/桶</w:t>
            </w:r>
          </w:p>
        </w:tc>
        <w:tc>
          <w:tcPr>
            <w:tcW w:w="802" w:type="dxa"/>
            <w:shd w:val="clear" w:color="auto" w:fill="auto"/>
            <w:vAlign w:val="center"/>
          </w:tcPr>
          <w:p w14:paraId="0892797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0.2</w:t>
            </w:r>
          </w:p>
        </w:tc>
        <w:tc>
          <w:tcPr>
            <w:tcW w:w="1128" w:type="dxa"/>
            <w:shd w:val="clear" w:color="auto" w:fill="auto"/>
            <w:vAlign w:val="center"/>
          </w:tcPr>
          <w:p w14:paraId="1E26BC06">
            <w:pPr>
              <w:spacing w:beforeLines="0" w:afterLines="0"/>
              <w:jc w:val="center"/>
              <w:rPr>
                <w:rFonts w:hint="default" w:ascii="Times New Roman" w:hAnsi="Times New Roman" w:eastAsia="Times New Roman" w:cstheme="minorBidi"/>
                <w:color w:val="000000"/>
                <w:kern w:val="2"/>
                <w:sz w:val="21"/>
                <w:szCs w:val="24"/>
                <w:lang w:val="en-US" w:eastAsia="zh-CN" w:bidi="ar-SA"/>
              </w:rPr>
            </w:pPr>
            <w:r>
              <w:rPr>
                <w:rFonts w:hint="eastAsia" w:ascii="Times New Roman" w:hAnsi="Times New Roman" w:eastAsia="Times New Roman"/>
                <w:color w:val="000000"/>
                <w:sz w:val="21"/>
                <w:szCs w:val="24"/>
              </w:rPr>
              <w:t>0.25</w:t>
            </w:r>
          </w:p>
        </w:tc>
        <w:tc>
          <w:tcPr>
            <w:tcW w:w="1929" w:type="dxa"/>
            <w:shd w:val="clear" w:color="auto" w:fill="auto"/>
            <w:vAlign w:val="center"/>
          </w:tcPr>
          <w:p w14:paraId="4E6E650F">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危险废物间</w:t>
            </w:r>
          </w:p>
        </w:tc>
        <w:tc>
          <w:tcPr>
            <w:tcW w:w="1901" w:type="dxa"/>
            <w:shd w:val="clear" w:color="auto" w:fill="auto"/>
            <w:vAlign w:val="center"/>
          </w:tcPr>
          <w:p w14:paraId="0CE628E0">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危险废物间</w:t>
            </w:r>
          </w:p>
        </w:tc>
      </w:tr>
      <w:tr w14:paraId="5AB9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280" w:type="dxa"/>
            <w:shd w:val="clear" w:color="auto" w:fill="auto"/>
            <w:vAlign w:val="center"/>
          </w:tcPr>
          <w:p w14:paraId="1E0C28B6">
            <w:pPr>
              <w:autoSpaceDE w:val="0"/>
              <w:autoSpaceDN w:val="0"/>
              <w:adjustRightInd w:val="0"/>
              <w:spacing w:beforeLines="0" w:afterLines="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废试剂、沾染物、小气瓶、铁桶、试剂瓶、酸性废液、碱性废液、生物垃圾、电子废弃物等</w:t>
            </w:r>
          </w:p>
        </w:tc>
        <w:tc>
          <w:tcPr>
            <w:tcW w:w="2229" w:type="dxa"/>
            <w:vAlign w:val="center"/>
          </w:tcPr>
          <w:p w14:paraId="4EE055B5">
            <w:pPr>
              <w:autoSpaceDE w:val="0"/>
              <w:autoSpaceDN w:val="0"/>
              <w:adjustRightInd w:val="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废试剂、沾染物、小气瓶、铁桶、试剂瓶、酸性废液、碱性废液、生物垃圾、电子废弃物等</w:t>
            </w:r>
          </w:p>
        </w:tc>
        <w:tc>
          <w:tcPr>
            <w:tcW w:w="654" w:type="dxa"/>
            <w:shd w:val="clear" w:color="auto" w:fill="auto"/>
            <w:vAlign w:val="center"/>
          </w:tcPr>
          <w:p w14:paraId="6A6B5AC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液体/固体</w:t>
            </w:r>
          </w:p>
        </w:tc>
        <w:tc>
          <w:tcPr>
            <w:tcW w:w="754" w:type="dxa"/>
            <w:shd w:val="clear" w:color="auto" w:fill="auto"/>
            <w:vAlign w:val="center"/>
          </w:tcPr>
          <w:p w14:paraId="07949297">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液体/固体</w:t>
            </w:r>
          </w:p>
        </w:tc>
        <w:tc>
          <w:tcPr>
            <w:tcW w:w="1131" w:type="dxa"/>
            <w:shd w:val="clear" w:color="auto" w:fill="auto"/>
            <w:vAlign w:val="center"/>
          </w:tcPr>
          <w:p w14:paraId="3D38EEA3">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200kg/桶</w:t>
            </w:r>
          </w:p>
        </w:tc>
        <w:tc>
          <w:tcPr>
            <w:tcW w:w="1131" w:type="dxa"/>
            <w:shd w:val="clear" w:color="auto" w:fill="auto"/>
            <w:vAlign w:val="center"/>
          </w:tcPr>
          <w:p w14:paraId="0B6C00D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200kg/桶</w:t>
            </w:r>
          </w:p>
        </w:tc>
        <w:tc>
          <w:tcPr>
            <w:tcW w:w="802" w:type="dxa"/>
            <w:shd w:val="clear" w:color="auto" w:fill="auto"/>
            <w:vAlign w:val="center"/>
          </w:tcPr>
          <w:p w14:paraId="52C15DF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1</w:t>
            </w:r>
          </w:p>
        </w:tc>
        <w:tc>
          <w:tcPr>
            <w:tcW w:w="1128" w:type="dxa"/>
            <w:shd w:val="clear" w:color="auto" w:fill="auto"/>
            <w:vAlign w:val="center"/>
          </w:tcPr>
          <w:p w14:paraId="3B412737">
            <w:pPr>
              <w:spacing w:beforeLines="0" w:afterLines="0"/>
              <w:jc w:val="center"/>
              <w:rPr>
                <w:rFonts w:hint="default" w:ascii="Times New Roman" w:hAnsi="Times New Roman" w:eastAsia="Times New Roman" w:cstheme="minorBidi"/>
                <w:color w:val="000000" w:themeColor="text1"/>
                <w:kern w:val="2"/>
                <w:sz w:val="21"/>
                <w:szCs w:val="24"/>
                <w:lang w:val="en-US" w:eastAsia="zh-CN" w:bidi="ar-SA"/>
                <w14:textFill>
                  <w14:solidFill>
                    <w14:schemeClr w14:val="tx1"/>
                  </w14:solidFill>
                </w14:textFill>
              </w:rPr>
            </w:pPr>
            <w:r>
              <w:rPr>
                <w:rFonts w:hint="eastAsia" w:ascii="Times New Roman" w:hAnsi="Times New Roman" w:eastAsia="Times New Roman" w:cstheme="minorBidi"/>
                <w:color w:val="000000" w:themeColor="text1"/>
                <w:kern w:val="2"/>
                <w:sz w:val="21"/>
                <w:szCs w:val="24"/>
                <w:lang w:val="en-US" w:eastAsia="zh-CN" w:bidi="ar-SA"/>
                <w14:textFill>
                  <w14:solidFill>
                    <w14:schemeClr w14:val="tx1"/>
                  </w14:solidFill>
                </w14:textFill>
              </w:rPr>
              <w:t>1.27</w:t>
            </w:r>
          </w:p>
        </w:tc>
        <w:tc>
          <w:tcPr>
            <w:tcW w:w="1929" w:type="dxa"/>
            <w:shd w:val="clear" w:color="auto" w:fill="auto"/>
            <w:vAlign w:val="center"/>
          </w:tcPr>
          <w:p w14:paraId="20E14445">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危险废物间</w:t>
            </w:r>
          </w:p>
        </w:tc>
        <w:tc>
          <w:tcPr>
            <w:tcW w:w="1901" w:type="dxa"/>
            <w:shd w:val="clear" w:color="auto" w:fill="auto"/>
            <w:vAlign w:val="center"/>
          </w:tcPr>
          <w:p w14:paraId="376AA02E">
            <w:pPr>
              <w:jc w:val="center"/>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危险废物间</w:t>
            </w:r>
          </w:p>
        </w:tc>
      </w:tr>
      <w:tr w14:paraId="580A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179" w:type="dxa"/>
            <w:gridSpan w:val="6"/>
            <w:shd w:val="clear" w:color="auto" w:fill="auto"/>
            <w:vAlign w:val="center"/>
          </w:tcPr>
          <w:p w14:paraId="79ECE332">
            <w:pPr>
              <w:autoSpaceDE w:val="0"/>
              <w:autoSpaceDN w:val="0"/>
              <w:adjustRightInd w:val="0"/>
              <w:jc w:val="center"/>
              <w:rPr>
                <w:rFonts w:hint="eastAsia"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合计</w:t>
            </w:r>
          </w:p>
        </w:tc>
        <w:tc>
          <w:tcPr>
            <w:tcW w:w="802" w:type="dxa"/>
            <w:shd w:val="clear" w:color="auto" w:fill="auto"/>
            <w:vAlign w:val="center"/>
          </w:tcPr>
          <w:p w14:paraId="42000DE9">
            <w:pPr>
              <w:autoSpaceDE w:val="0"/>
              <w:autoSpaceDN w:val="0"/>
              <w:adjustRightInd w:val="0"/>
              <w:jc w:val="center"/>
              <w:rPr>
                <w:rFonts w:hint="default"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34.546</w:t>
            </w:r>
          </w:p>
        </w:tc>
        <w:tc>
          <w:tcPr>
            <w:tcW w:w="1128" w:type="dxa"/>
            <w:shd w:val="clear" w:color="auto" w:fill="auto"/>
            <w:vAlign w:val="center"/>
          </w:tcPr>
          <w:p w14:paraId="0D2162CD">
            <w:pPr>
              <w:spacing w:beforeLines="0" w:afterLines="0"/>
              <w:jc w:val="center"/>
              <w:rPr>
                <w:rFonts w:hint="default" w:ascii="Times New Roman" w:hAnsi="Times New Roman" w:eastAsia="宋体"/>
                <w:color w:val="000000" w:themeColor="text1"/>
                <w:sz w:val="21"/>
                <w:szCs w:val="24"/>
                <w:lang w:val="en-US" w:eastAsia="zh-CN"/>
                <w14:textFill>
                  <w14:solidFill>
                    <w14:schemeClr w14:val="tx1"/>
                  </w14:solidFill>
                </w14:textFill>
              </w:rPr>
            </w:pPr>
            <w:r>
              <w:rPr>
                <w:rFonts w:hint="eastAsia" w:ascii="Times New Roman" w:hAnsi="Times New Roman" w:eastAsia="宋体"/>
                <w:color w:val="000000" w:themeColor="text1"/>
                <w:sz w:val="21"/>
                <w:szCs w:val="24"/>
                <w:lang w:val="en-US" w:eastAsia="zh-CN"/>
                <w14:textFill>
                  <w14:solidFill>
                    <w14:schemeClr w14:val="tx1"/>
                  </w14:solidFill>
                </w14:textFill>
              </w:rPr>
              <w:t>43.639</w:t>
            </w:r>
          </w:p>
        </w:tc>
        <w:tc>
          <w:tcPr>
            <w:tcW w:w="1929" w:type="dxa"/>
            <w:shd w:val="clear" w:color="auto" w:fill="auto"/>
            <w:vAlign w:val="center"/>
          </w:tcPr>
          <w:p w14:paraId="401DECC0">
            <w:pPr>
              <w:jc w:val="center"/>
              <w:rPr>
                <w:rFonts w:hint="eastAsia"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w:t>
            </w:r>
          </w:p>
        </w:tc>
        <w:tc>
          <w:tcPr>
            <w:tcW w:w="1901" w:type="dxa"/>
            <w:shd w:val="clear" w:color="auto" w:fill="auto"/>
            <w:vAlign w:val="center"/>
          </w:tcPr>
          <w:p w14:paraId="2C7FB6AB">
            <w:pPr>
              <w:jc w:val="center"/>
              <w:rPr>
                <w:rFonts w:hint="eastAsia" w:ascii="Times New Roman" w:hAnsi="Times New Roman" w:cs="Times New Roman" w:eastAsiaTheme="minorEastAsia"/>
                <w:color w:val="000000" w:themeColor="text1"/>
                <w:kern w:val="0"/>
                <w:sz w:val="21"/>
                <w:szCs w:val="21"/>
                <w:lang w:val="en-US" w:eastAsia="zh-CN"/>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w:t>
            </w:r>
          </w:p>
        </w:tc>
      </w:tr>
    </w:tbl>
    <w:p w14:paraId="64920A47">
      <w:pPr>
        <w:pStyle w:val="5"/>
        <w:ind w:left="0" w:leftChars="0" w:firstLine="0" w:firstLineChars="0"/>
        <w:sectPr>
          <w:pgSz w:w="16838" w:h="11906" w:orient="landscape"/>
          <w:pgMar w:top="1588" w:right="1440" w:bottom="1588" w:left="1440" w:header="851" w:footer="992" w:gutter="0"/>
          <w:cols w:space="425" w:num="1"/>
          <w:docGrid w:type="lines" w:linePitch="312" w:charSpace="0"/>
        </w:sectPr>
      </w:pPr>
    </w:p>
    <w:bookmarkEnd w:id="5"/>
    <w:tbl>
      <w:tblPr>
        <w:tblStyle w:val="20"/>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7"/>
      </w:tblGrid>
      <w:tr w14:paraId="2940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787" w:type="dxa"/>
          </w:tcPr>
          <w:p w14:paraId="612D2CB0">
            <w:pPr>
              <w:spacing w:line="360" w:lineRule="auto"/>
              <w:ind w:firstLine="480" w:firstLineChars="200"/>
              <w:rPr>
                <w:sz w:val="24"/>
                <w:szCs w:val="24"/>
                <w:highlight w:val="none"/>
              </w:rPr>
            </w:pPr>
            <w:r>
              <w:rPr>
                <w:rFonts w:hint="eastAsia"/>
                <w:sz w:val="24"/>
                <w:szCs w:val="24"/>
                <w:highlight w:val="none"/>
              </w:rPr>
              <w:t>本项目实际建设与环评建设内容</w:t>
            </w:r>
            <w:r>
              <w:rPr>
                <w:rFonts w:hint="eastAsia"/>
                <w:sz w:val="24"/>
                <w:szCs w:val="24"/>
                <w:highlight w:val="none"/>
                <w:lang w:val="en-US" w:eastAsia="zh-CN"/>
              </w:rPr>
              <w:t>一览表</w:t>
            </w:r>
            <w:r>
              <w:rPr>
                <w:rFonts w:hint="eastAsia"/>
                <w:sz w:val="24"/>
                <w:szCs w:val="24"/>
                <w:highlight w:val="none"/>
              </w:rPr>
              <w:t>如下所示。</w:t>
            </w:r>
          </w:p>
          <w:p w14:paraId="2C789D07">
            <w:pPr>
              <w:spacing w:line="360" w:lineRule="auto"/>
              <w:ind w:firstLine="480" w:firstLineChars="200"/>
              <w:jc w:val="center"/>
              <w:rPr>
                <w:rFonts w:ascii="Times New Roman" w:hAnsi="Times New Roman" w:cs="Times New Roman"/>
                <w:bCs/>
                <w:sz w:val="24"/>
                <w:szCs w:val="24"/>
                <w:highlight w:val="none"/>
              </w:rPr>
            </w:pPr>
            <w:r>
              <w:rPr>
                <w:rFonts w:ascii="Times New Roman" w:hAnsi="Times New Roman" w:cs="Times New Roman"/>
                <w:bCs/>
                <w:sz w:val="24"/>
                <w:szCs w:val="24"/>
                <w:highlight w:val="none"/>
              </w:rPr>
              <w:t>表2-</w:t>
            </w:r>
            <w:r>
              <w:rPr>
                <w:rFonts w:hint="eastAsia" w:ascii="Times New Roman" w:hAnsi="Times New Roman" w:cs="Times New Roman"/>
                <w:bCs/>
                <w:sz w:val="24"/>
                <w:szCs w:val="24"/>
                <w:highlight w:val="none"/>
                <w:lang w:val="en-US" w:eastAsia="zh-CN"/>
              </w:rPr>
              <w:t>3</w:t>
            </w:r>
            <w:r>
              <w:rPr>
                <w:rFonts w:ascii="Times New Roman" w:hAnsi="Times New Roman" w:cs="Times New Roman"/>
                <w:bCs/>
                <w:sz w:val="24"/>
                <w:szCs w:val="24"/>
                <w:highlight w:val="none"/>
              </w:rPr>
              <w:t xml:space="preserve">  建设</w:t>
            </w:r>
            <w:r>
              <w:rPr>
                <w:rFonts w:hint="eastAsia" w:ascii="Times New Roman" w:hAnsi="Times New Roman" w:cs="Times New Roman"/>
                <w:bCs/>
                <w:sz w:val="24"/>
                <w:szCs w:val="24"/>
                <w:highlight w:val="none"/>
                <w:lang w:val="en-US" w:eastAsia="zh-CN"/>
              </w:rPr>
              <w:t>项目工程</w:t>
            </w:r>
            <w:r>
              <w:rPr>
                <w:rFonts w:ascii="Times New Roman" w:hAnsi="Times New Roman" w:cs="Times New Roman"/>
                <w:bCs/>
                <w:sz w:val="24"/>
                <w:szCs w:val="24"/>
                <w:highlight w:val="none"/>
              </w:rPr>
              <w:t>内容</w:t>
            </w:r>
            <w:r>
              <w:rPr>
                <w:rFonts w:hint="eastAsia" w:ascii="Times New Roman" w:hAnsi="Times New Roman" w:cs="Times New Roman"/>
                <w:bCs/>
                <w:sz w:val="24"/>
                <w:szCs w:val="24"/>
                <w:highlight w:val="none"/>
                <w:lang w:val="en-US" w:eastAsia="zh-CN"/>
              </w:rPr>
              <w:t>情况</w:t>
            </w:r>
            <w:r>
              <w:rPr>
                <w:rFonts w:ascii="Times New Roman" w:hAnsi="Times New Roman" w:cs="Times New Roman"/>
                <w:bCs/>
                <w:sz w:val="24"/>
                <w:szCs w:val="24"/>
                <w:highlight w:val="none"/>
              </w:rPr>
              <w:t>一览表</w:t>
            </w:r>
          </w:p>
          <w:tbl>
            <w:tblPr>
              <w:tblStyle w:val="20"/>
              <w:tblW w:w="8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445"/>
              <w:gridCol w:w="2900"/>
              <w:gridCol w:w="2912"/>
              <w:gridCol w:w="1622"/>
            </w:tblGrid>
            <w:tr w14:paraId="7709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gridSpan w:val="2"/>
                </w:tcPr>
                <w:p w14:paraId="50423456">
                  <w:pPr>
                    <w:pStyle w:val="5"/>
                    <w:ind w:left="0" w:leftChars="0" w:firstLine="0" w:firstLineChars="0"/>
                    <w:jc w:val="center"/>
                    <w:rPr>
                      <w:rFonts w:hint="default" w:ascii="Times New Roman" w:hAnsi="Times New Roman" w:eastAsia="宋体" w:cs="Times New Roman"/>
                      <w:bCs/>
                      <w:sz w:val="21"/>
                      <w:szCs w:val="21"/>
                      <w:highlight w:val="none"/>
                      <w:vertAlign w:val="baseline"/>
                      <w:lang w:val="en-US" w:eastAsia="zh-CN"/>
                    </w:rPr>
                  </w:pPr>
                  <w:r>
                    <w:rPr>
                      <w:rFonts w:hint="default" w:ascii="Times New Roman" w:hAnsi="Times New Roman" w:eastAsia="宋体" w:cs="Times New Roman"/>
                      <w:bCs/>
                      <w:sz w:val="21"/>
                      <w:szCs w:val="21"/>
                      <w:highlight w:val="none"/>
                      <w:vertAlign w:val="baseline"/>
                      <w:lang w:val="en-US" w:eastAsia="zh-CN"/>
                    </w:rPr>
                    <w:t>项目组成</w:t>
                  </w:r>
                </w:p>
              </w:tc>
              <w:tc>
                <w:tcPr>
                  <w:tcW w:w="2900" w:type="dxa"/>
                </w:tcPr>
                <w:p w14:paraId="2FD36508">
                  <w:pPr>
                    <w:pStyle w:val="5"/>
                    <w:ind w:left="0" w:leftChars="0" w:firstLine="0" w:firstLineChars="0"/>
                    <w:jc w:val="center"/>
                    <w:rPr>
                      <w:rFonts w:hint="default" w:ascii="Times New Roman" w:hAnsi="Times New Roman" w:eastAsia="宋体" w:cs="Times New Roman"/>
                      <w:bCs/>
                      <w:sz w:val="21"/>
                      <w:szCs w:val="21"/>
                      <w:highlight w:val="none"/>
                      <w:vertAlign w:val="baseline"/>
                      <w:lang w:val="en-US" w:eastAsia="zh-CN"/>
                    </w:rPr>
                  </w:pPr>
                  <w:r>
                    <w:rPr>
                      <w:rFonts w:hint="default" w:ascii="Times New Roman" w:hAnsi="Times New Roman" w:eastAsia="宋体" w:cs="Times New Roman"/>
                      <w:bCs/>
                      <w:sz w:val="21"/>
                      <w:szCs w:val="21"/>
                      <w:highlight w:val="none"/>
                      <w:vertAlign w:val="baseline"/>
                      <w:lang w:val="en-US" w:eastAsia="zh-CN"/>
                    </w:rPr>
                    <w:t>环评</w:t>
                  </w:r>
                  <w:r>
                    <w:rPr>
                      <w:rFonts w:hint="eastAsia" w:ascii="Times New Roman" w:hAnsi="Times New Roman" w:eastAsia="宋体" w:cs="Times New Roman"/>
                      <w:bCs/>
                      <w:sz w:val="21"/>
                      <w:szCs w:val="21"/>
                      <w:highlight w:val="none"/>
                      <w:vertAlign w:val="baseline"/>
                      <w:lang w:val="en-US" w:eastAsia="zh-CN"/>
                    </w:rPr>
                    <w:t>阶段拟建内容</w:t>
                  </w:r>
                </w:p>
              </w:tc>
              <w:tc>
                <w:tcPr>
                  <w:tcW w:w="2912" w:type="dxa"/>
                </w:tcPr>
                <w:p w14:paraId="775C4A76">
                  <w:pPr>
                    <w:pStyle w:val="5"/>
                    <w:ind w:left="0" w:leftChars="0" w:firstLine="0" w:firstLineChars="0"/>
                    <w:jc w:val="center"/>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实际建设内容</w:t>
                  </w:r>
                </w:p>
              </w:tc>
              <w:tc>
                <w:tcPr>
                  <w:tcW w:w="1622" w:type="dxa"/>
                </w:tcPr>
                <w:p w14:paraId="0D42967B">
                  <w:pPr>
                    <w:pStyle w:val="5"/>
                    <w:ind w:left="0" w:leftChars="0" w:firstLine="0" w:firstLineChars="0"/>
                    <w:jc w:val="center"/>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变化情况</w:t>
                  </w:r>
                </w:p>
              </w:tc>
            </w:tr>
            <w:tr w14:paraId="202A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gridSpan w:val="2"/>
                  <w:vAlign w:val="center"/>
                </w:tcPr>
                <w:p w14:paraId="453E4A3A">
                  <w:pPr>
                    <w:pStyle w:val="5"/>
                    <w:ind w:left="0" w:leftChars="0" w:firstLine="0" w:firstLineChars="0"/>
                    <w:jc w:val="both"/>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储存规模</w:t>
                  </w:r>
                </w:p>
              </w:tc>
              <w:tc>
                <w:tcPr>
                  <w:tcW w:w="2900" w:type="dxa"/>
                </w:tcPr>
                <w:p w14:paraId="549B5EA0">
                  <w:pPr>
                    <w:pStyle w:val="5"/>
                    <w:ind w:left="0" w:leftChars="0" w:firstLine="0" w:firstLineChars="0"/>
                    <w:jc w:val="both"/>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本项目W2-仓库2目前化学品最大存储量34.546t。W2-仓库2为三厂服务，三厂目前在建工程仅为三厂的部分建设内容，本项目库房为后期预留空间。</w:t>
                  </w:r>
                </w:p>
              </w:tc>
              <w:tc>
                <w:tcPr>
                  <w:tcW w:w="2912" w:type="dxa"/>
                </w:tcPr>
                <w:p w14:paraId="071B6EA8">
                  <w:pPr>
                    <w:pStyle w:val="5"/>
                    <w:ind w:left="0" w:leftChars="0" w:firstLine="0" w:firstLineChars="0"/>
                    <w:jc w:val="both"/>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本项目W2-仓库2目前化学品最大存储量43.639t。W2-仓库2为三厂服务，三厂目前已建工程仅为三厂厂区的部分建设内容，本项目库房为后期预留空间。</w:t>
                  </w:r>
                </w:p>
              </w:tc>
              <w:tc>
                <w:tcPr>
                  <w:tcW w:w="1622" w:type="dxa"/>
                  <w:vAlign w:val="center"/>
                </w:tcPr>
                <w:p w14:paraId="3D624F86">
                  <w:pPr>
                    <w:pStyle w:val="5"/>
                    <w:ind w:left="0" w:leftChars="0" w:firstLine="0" w:firstLineChars="0"/>
                    <w:jc w:val="center"/>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最大暂存量较环评增加9.093t，增加26.32%。</w:t>
                  </w:r>
                </w:p>
              </w:tc>
            </w:tr>
            <w:tr w14:paraId="45A2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gridSpan w:val="2"/>
                  <w:vAlign w:val="center"/>
                </w:tcPr>
                <w:p w14:paraId="5024374C">
                  <w:pPr>
                    <w:pStyle w:val="5"/>
                    <w:ind w:left="0" w:leftChars="0" w:firstLine="0" w:firstLineChars="0"/>
                    <w:jc w:val="left"/>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主体工程</w:t>
                  </w:r>
                </w:p>
              </w:tc>
              <w:tc>
                <w:tcPr>
                  <w:tcW w:w="2900" w:type="dxa"/>
                </w:tcPr>
                <w:p w14:paraId="29748D13">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bookmarkStart w:id="6" w:name="OLE_LINK33"/>
                  <w:bookmarkStart w:id="7" w:name="OLE_LINK29"/>
                  <w:bookmarkStart w:id="8" w:name="OLE_LINK9"/>
                  <w:r>
                    <w:rPr>
                      <w:rFonts w:hint="eastAsia" w:ascii="Times New Roman" w:hAnsi="Times New Roman" w:eastAsia="宋体" w:cs="Times New Roman"/>
                      <w:bCs/>
                      <w:kern w:val="2"/>
                      <w:sz w:val="21"/>
                      <w:szCs w:val="21"/>
                      <w:highlight w:val="none"/>
                      <w:vertAlign w:val="baseline"/>
                      <w:lang w:val="en-US" w:eastAsia="zh-CN" w:bidi="ar-SA"/>
                    </w:rPr>
                    <w:t>新建 1 座甲类化学品库房（原料库，W2-仓库2），单层，为甲类仓库，库房长度为 26.7m，宽度为11.2m，高度为 9.515m，混凝土框架结构，耐火等级为一级。</w:t>
                  </w:r>
                </w:p>
                <w:bookmarkEnd w:id="6"/>
                <w:bookmarkEnd w:id="7"/>
                <w:p w14:paraId="5D41958F">
                  <w:pPr>
                    <w:pStyle w:val="5"/>
                    <w:ind w:left="0" w:leftChars="0" w:firstLine="0" w:firstLineChars="0"/>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库房分为四个隔间,分别为甲类库、易制爆化学品间、危废暂存间、药剂间。各隔间独立设置，分别设置入口。库房地面采用高密度聚乙烯防渗层。各隔间门口设有截流沟和集液坑，各出入口防静电接地球。各隔间设置便携式喷淋洗眼器（不接水电）</w:t>
                  </w:r>
                  <w:bookmarkEnd w:id="8"/>
                </w:p>
              </w:tc>
              <w:tc>
                <w:tcPr>
                  <w:tcW w:w="2912" w:type="dxa"/>
                </w:tcPr>
                <w:p w14:paraId="112DC08F">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新建 1 座甲类化学品库房（原料库，W2-仓库2），单层，为甲类仓库，库房长度为 26.7m，宽度为11.2m，高度为 9.515m，混凝土框架结构，耐火等级为一级。</w:t>
                  </w:r>
                </w:p>
                <w:p w14:paraId="339224EE">
                  <w:pPr>
                    <w:pStyle w:val="5"/>
                    <w:ind w:left="0" w:leftChars="0" w:firstLine="0" w:firstLineChars="0"/>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库房分为四个隔间,分别为甲类库、易制爆化学品间、危废暂存间、药剂间。各隔间独立设置，分别设置入口。库房地面采用高密度聚乙烯防渗层。各隔间门口设有截流沟和集液坑，各出入口防静电接地球。各隔间设置便携式喷淋洗眼器（不接水电）</w:t>
                  </w:r>
                </w:p>
              </w:tc>
              <w:tc>
                <w:tcPr>
                  <w:tcW w:w="1622" w:type="dxa"/>
                  <w:vAlign w:val="center"/>
                </w:tcPr>
                <w:p w14:paraId="6E8417C8">
                  <w:pPr>
                    <w:pStyle w:val="5"/>
                    <w:ind w:left="0" w:leftChars="0" w:firstLine="0" w:firstLineChars="0"/>
                    <w:jc w:val="center"/>
                    <w:rPr>
                      <w:rFonts w:hint="default" w:ascii="Times New Roman" w:hAnsi="Times New Roman" w:eastAsia="宋体" w:cs="Times New Roman"/>
                      <w:bCs/>
                      <w:sz w:val="21"/>
                      <w:szCs w:val="21"/>
                      <w:highlight w:val="none"/>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无变化</w:t>
                  </w:r>
                </w:p>
              </w:tc>
            </w:tr>
            <w:tr w14:paraId="54D9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gridSpan w:val="2"/>
                  <w:vAlign w:val="center"/>
                </w:tcPr>
                <w:p w14:paraId="7BA7279D">
                  <w:pPr>
                    <w:spacing w:line="276" w:lineRule="auto"/>
                    <w:jc w:val="center"/>
                    <w:rPr>
                      <w:rFonts w:hint="default" w:ascii="Times New Roman" w:hAnsi="Times New Roman" w:cs="Times New Roman"/>
                      <w:color w:val="000000" w:themeColor="text1"/>
                      <w:szCs w:val="21"/>
                      <w:highlight w:val="yellow"/>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公用工程</w:t>
                  </w:r>
                </w:p>
              </w:tc>
              <w:tc>
                <w:tcPr>
                  <w:tcW w:w="2900" w:type="dxa"/>
                </w:tcPr>
                <w:p w14:paraId="7946725C">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default" w:ascii="Times New Roman" w:hAnsi="Times New Roman" w:eastAsia="宋体" w:cs="Times New Roman"/>
                      <w:bCs/>
                      <w:kern w:val="2"/>
                      <w:sz w:val="21"/>
                      <w:szCs w:val="21"/>
                      <w:highlight w:val="none"/>
                      <w:vertAlign w:val="baseline"/>
                      <w:lang w:val="en-US" w:eastAsia="zh-CN" w:bidi="ar-SA"/>
                    </w:rPr>
                    <w:t>①给</w:t>
                  </w:r>
                  <w:r>
                    <w:rPr>
                      <w:rFonts w:hint="eastAsia" w:ascii="Times New Roman" w:hAnsi="Times New Roman" w:eastAsia="宋体" w:cs="Times New Roman"/>
                      <w:bCs/>
                      <w:kern w:val="2"/>
                      <w:sz w:val="21"/>
                      <w:szCs w:val="21"/>
                      <w:highlight w:val="none"/>
                      <w:vertAlign w:val="baseline"/>
                      <w:lang w:val="en-US" w:eastAsia="zh-CN" w:bidi="ar-SA"/>
                    </w:rPr>
                    <w:t>排</w:t>
                  </w:r>
                  <w:r>
                    <w:rPr>
                      <w:rFonts w:hint="default" w:ascii="Times New Roman" w:hAnsi="Times New Roman" w:eastAsia="宋体" w:cs="Times New Roman"/>
                      <w:bCs/>
                      <w:kern w:val="2"/>
                      <w:sz w:val="21"/>
                      <w:szCs w:val="21"/>
                      <w:highlight w:val="none"/>
                      <w:vertAlign w:val="baseline"/>
                      <w:lang w:val="en-US" w:eastAsia="zh-CN" w:bidi="ar-SA"/>
                    </w:rPr>
                    <w:t>水：</w:t>
                  </w:r>
                  <w:r>
                    <w:rPr>
                      <w:rFonts w:hint="eastAsia" w:ascii="Times New Roman" w:hAnsi="Times New Roman" w:eastAsia="宋体" w:cs="Times New Roman"/>
                      <w:bCs/>
                      <w:kern w:val="2"/>
                      <w:sz w:val="21"/>
                      <w:szCs w:val="21"/>
                      <w:highlight w:val="none"/>
                      <w:vertAlign w:val="baseline"/>
                      <w:lang w:val="en-US" w:eastAsia="zh-CN" w:bidi="ar-SA"/>
                    </w:rPr>
                    <w:t>主要用于消防，依托诺和诺德公司三厂在建的消防水系统；本项目不单独设置雨水管网，依托三厂在建雨水管网</w:t>
                  </w:r>
                </w:p>
                <w:p w14:paraId="50ACD05B">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②</w:t>
                  </w:r>
                  <w:r>
                    <w:rPr>
                      <w:rFonts w:hint="default" w:ascii="Times New Roman" w:hAnsi="Times New Roman" w:eastAsia="宋体" w:cs="Times New Roman"/>
                      <w:bCs/>
                      <w:kern w:val="2"/>
                      <w:sz w:val="21"/>
                      <w:szCs w:val="21"/>
                      <w:highlight w:val="none"/>
                      <w:vertAlign w:val="baseline"/>
                      <w:lang w:val="en-GB" w:eastAsia="zh-CN" w:bidi="ar-SA"/>
                    </w:rPr>
                    <w:t>供电：</w:t>
                  </w:r>
                  <w:r>
                    <w:rPr>
                      <w:rFonts w:hint="eastAsia" w:ascii="Times New Roman" w:hAnsi="Times New Roman" w:eastAsia="宋体" w:cs="Times New Roman"/>
                      <w:bCs/>
                      <w:kern w:val="2"/>
                      <w:sz w:val="21"/>
                      <w:szCs w:val="21"/>
                      <w:highlight w:val="none"/>
                      <w:vertAlign w:val="baseline"/>
                      <w:lang w:val="en-US" w:eastAsia="zh-CN" w:bidi="ar-SA"/>
                    </w:rPr>
                    <w:t>依托诺和诺德三厂在建变配电设施，市政电源。</w:t>
                  </w:r>
                </w:p>
                <w:p w14:paraId="4842A9FB">
                  <w:pPr>
                    <w:autoSpaceDE w:val="0"/>
                    <w:autoSpaceDN w:val="0"/>
                    <w:adjustRightInd w:val="0"/>
                    <w:spacing w:line="237" w:lineRule="auto"/>
                    <w:ind w:right="48"/>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③供暖：库房内采暖由三厂在建换热站提供45/30℃热水</w:t>
                  </w:r>
                </w:p>
                <w:p w14:paraId="406C5554">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default" w:ascii="Times New Roman" w:hAnsi="Times New Roman" w:eastAsia="宋体" w:cs="Times New Roman"/>
                      <w:bCs/>
                      <w:kern w:val="2"/>
                      <w:sz w:val="21"/>
                      <w:szCs w:val="21"/>
                      <w:highlight w:val="none"/>
                      <w:vertAlign w:val="baseline"/>
                      <w:lang w:val="en-US" w:eastAsia="zh-CN" w:bidi="ar-SA"/>
                    </w:rPr>
                    <w:t>④制冷：</w:t>
                  </w:r>
                  <w:r>
                    <w:rPr>
                      <w:rFonts w:hint="eastAsia" w:ascii="Times New Roman" w:hAnsi="Times New Roman" w:eastAsia="宋体" w:cs="Times New Roman"/>
                      <w:bCs/>
                      <w:kern w:val="2"/>
                      <w:sz w:val="21"/>
                      <w:szCs w:val="21"/>
                      <w:highlight w:val="none"/>
                      <w:vertAlign w:val="baseline"/>
                      <w:lang w:val="en-US" w:eastAsia="zh-CN" w:bidi="ar-SA"/>
                    </w:rPr>
                    <w:t>夏季制冷采用室外全新风直膨机组提供冷源，通过空调风管送风。</w:t>
                  </w:r>
                </w:p>
                <w:p w14:paraId="3AF28E61">
                  <w:pPr>
                    <w:autoSpaceDE w:val="0"/>
                    <w:autoSpaceDN w:val="0"/>
                    <w:adjustRightInd w:val="0"/>
                    <w:spacing w:line="237" w:lineRule="auto"/>
                    <w:ind w:right="48"/>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⑤通风：通风系统由补风系统、排风机和相应的风管系统组成。每个房间均设置机械通风系统，平时与事故排风机合用。各房间均设2台同型号防爆型排风机（1用1备），平时保证最小6次换气次数，事故时开启备用排风机保证12次换气次数。排风机采用防爆风机定频控制。平时通风室内为微正压，事故状态下室内为微负压。室外空调箱作为事故排风的补风，室外新风经新风空调箱的冷热处理后通过风管送风以满足室内温度要求。</w:t>
                  </w:r>
                </w:p>
              </w:tc>
              <w:tc>
                <w:tcPr>
                  <w:tcW w:w="2912" w:type="dxa"/>
                </w:tcPr>
                <w:p w14:paraId="4C961E72">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default" w:ascii="Times New Roman" w:hAnsi="Times New Roman" w:eastAsia="宋体" w:cs="Times New Roman"/>
                      <w:bCs/>
                      <w:kern w:val="2"/>
                      <w:sz w:val="21"/>
                      <w:szCs w:val="21"/>
                      <w:highlight w:val="none"/>
                      <w:vertAlign w:val="baseline"/>
                      <w:lang w:val="en-US" w:eastAsia="zh-CN" w:bidi="ar-SA"/>
                    </w:rPr>
                    <w:t>①给</w:t>
                  </w:r>
                  <w:r>
                    <w:rPr>
                      <w:rFonts w:hint="eastAsia" w:ascii="Times New Roman" w:hAnsi="Times New Roman" w:eastAsia="宋体" w:cs="Times New Roman"/>
                      <w:bCs/>
                      <w:kern w:val="2"/>
                      <w:sz w:val="21"/>
                      <w:szCs w:val="21"/>
                      <w:highlight w:val="none"/>
                      <w:vertAlign w:val="baseline"/>
                      <w:lang w:val="en-US" w:eastAsia="zh-CN" w:bidi="ar-SA"/>
                    </w:rPr>
                    <w:t>排</w:t>
                  </w:r>
                  <w:r>
                    <w:rPr>
                      <w:rFonts w:hint="default" w:ascii="Times New Roman" w:hAnsi="Times New Roman" w:eastAsia="宋体" w:cs="Times New Roman"/>
                      <w:bCs/>
                      <w:kern w:val="2"/>
                      <w:sz w:val="21"/>
                      <w:szCs w:val="21"/>
                      <w:highlight w:val="none"/>
                      <w:vertAlign w:val="baseline"/>
                      <w:lang w:val="en-US" w:eastAsia="zh-CN" w:bidi="ar-SA"/>
                    </w:rPr>
                    <w:t>水：</w:t>
                  </w:r>
                  <w:r>
                    <w:rPr>
                      <w:rFonts w:hint="eastAsia" w:ascii="Times New Roman" w:hAnsi="Times New Roman" w:eastAsia="宋体" w:cs="Times New Roman"/>
                      <w:bCs/>
                      <w:kern w:val="2"/>
                      <w:sz w:val="21"/>
                      <w:szCs w:val="21"/>
                      <w:highlight w:val="none"/>
                      <w:vertAlign w:val="baseline"/>
                      <w:lang w:val="en-US" w:eastAsia="zh-CN" w:bidi="ar-SA"/>
                    </w:rPr>
                    <w:t>主要用于消防，依托诺和诺德公司三厂的消防水系统；本项目不单独设置雨水管网，依托三厂雨水管网</w:t>
                  </w:r>
                </w:p>
                <w:p w14:paraId="552B9E42">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②</w:t>
                  </w:r>
                  <w:r>
                    <w:rPr>
                      <w:rFonts w:hint="default" w:ascii="Times New Roman" w:hAnsi="Times New Roman" w:eastAsia="宋体" w:cs="Times New Roman"/>
                      <w:bCs/>
                      <w:kern w:val="2"/>
                      <w:sz w:val="21"/>
                      <w:szCs w:val="21"/>
                      <w:highlight w:val="none"/>
                      <w:vertAlign w:val="baseline"/>
                      <w:lang w:val="en-GB" w:eastAsia="zh-CN" w:bidi="ar-SA"/>
                    </w:rPr>
                    <w:t>供电：</w:t>
                  </w:r>
                  <w:r>
                    <w:rPr>
                      <w:rFonts w:hint="eastAsia" w:ascii="Times New Roman" w:hAnsi="Times New Roman" w:eastAsia="宋体" w:cs="Times New Roman"/>
                      <w:bCs/>
                      <w:kern w:val="2"/>
                      <w:sz w:val="21"/>
                      <w:szCs w:val="21"/>
                      <w:highlight w:val="none"/>
                      <w:vertAlign w:val="baseline"/>
                      <w:lang w:val="en-US" w:eastAsia="zh-CN" w:bidi="ar-SA"/>
                    </w:rPr>
                    <w:t>依托诺和诺德三厂变配电设施，市政电源。</w:t>
                  </w:r>
                </w:p>
                <w:p w14:paraId="72FE6478">
                  <w:pPr>
                    <w:autoSpaceDE w:val="0"/>
                    <w:autoSpaceDN w:val="0"/>
                    <w:adjustRightInd w:val="0"/>
                    <w:spacing w:line="237" w:lineRule="auto"/>
                    <w:ind w:right="48"/>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③供暖：库房内采暖由三厂换热站提供45/30℃热水</w:t>
                  </w:r>
                </w:p>
                <w:p w14:paraId="1EF33F57">
                  <w:pPr>
                    <w:autoSpaceDE w:val="0"/>
                    <w:autoSpaceDN w:val="0"/>
                    <w:adjustRightInd w:val="0"/>
                    <w:spacing w:line="237" w:lineRule="auto"/>
                    <w:ind w:right="48"/>
                    <w:jc w:val="both"/>
                    <w:rPr>
                      <w:rFonts w:hint="eastAsia" w:ascii="Times New Roman" w:hAnsi="Times New Roman" w:eastAsia="宋体" w:cs="Times New Roman"/>
                      <w:bCs/>
                      <w:kern w:val="2"/>
                      <w:sz w:val="21"/>
                      <w:szCs w:val="21"/>
                      <w:highlight w:val="none"/>
                      <w:vertAlign w:val="baseline"/>
                      <w:lang w:val="en-US" w:eastAsia="zh-CN" w:bidi="ar-SA"/>
                    </w:rPr>
                  </w:pPr>
                  <w:r>
                    <w:rPr>
                      <w:rFonts w:hint="default" w:ascii="Times New Roman" w:hAnsi="Times New Roman" w:eastAsia="宋体" w:cs="Times New Roman"/>
                      <w:bCs/>
                      <w:kern w:val="2"/>
                      <w:sz w:val="21"/>
                      <w:szCs w:val="21"/>
                      <w:highlight w:val="none"/>
                      <w:vertAlign w:val="baseline"/>
                      <w:lang w:val="en-US" w:eastAsia="zh-CN" w:bidi="ar-SA"/>
                    </w:rPr>
                    <w:t>④制冷：</w:t>
                  </w:r>
                  <w:r>
                    <w:rPr>
                      <w:rFonts w:hint="eastAsia" w:ascii="Times New Roman" w:hAnsi="Times New Roman" w:eastAsia="宋体" w:cs="Times New Roman"/>
                      <w:bCs/>
                      <w:kern w:val="2"/>
                      <w:sz w:val="21"/>
                      <w:szCs w:val="21"/>
                      <w:highlight w:val="none"/>
                      <w:vertAlign w:val="baseline"/>
                      <w:lang w:val="en-US" w:eastAsia="zh-CN" w:bidi="ar-SA"/>
                    </w:rPr>
                    <w:t>夏季制冷采用室外全新风直膨机组提供冷源，通过空调风管送风。</w:t>
                  </w:r>
                </w:p>
                <w:p w14:paraId="2F9EEEDE">
                  <w:pPr>
                    <w:autoSpaceDE w:val="0"/>
                    <w:autoSpaceDN w:val="0"/>
                    <w:adjustRightInd w:val="0"/>
                    <w:spacing w:line="237" w:lineRule="auto"/>
                    <w:ind w:right="48"/>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⑤通风：通风系统由补风系统、排风机和相应的风管系统组成。每个房间均设置机械通风系统，平时与事故排风机合用。各房间均设2台同型号防爆型排风机（1用1备），平时保证最小6次换气次数，事故时开启备用排风机保证12次换气次数。排风机采用防爆风机定频控制。平时通风室内为微正压，事故状态下室内为微负压。室外空调箱作为事故排风的补风，室外新风经新风空调箱的冷热处理后通过风管送风以满足室内温度要求</w:t>
                  </w:r>
                </w:p>
              </w:tc>
              <w:tc>
                <w:tcPr>
                  <w:tcW w:w="1622" w:type="dxa"/>
                  <w:vAlign w:val="center"/>
                </w:tcPr>
                <w:p w14:paraId="36CEF6BF">
                  <w:pPr>
                    <w:pStyle w:val="5"/>
                    <w:ind w:left="0" w:leftChars="0" w:firstLine="0" w:firstLineChars="0"/>
                    <w:jc w:val="center"/>
                    <w:rPr>
                      <w:rFonts w:hint="default" w:ascii="Times New Roman" w:hAnsi="Times New Roman" w:eastAsia="宋体" w:cs="Times New Roman"/>
                      <w:bCs/>
                      <w:sz w:val="21"/>
                      <w:szCs w:val="21"/>
                      <w:highlight w:val="yellow"/>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无变化</w:t>
                  </w:r>
                </w:p>
              </w:tc>
            </w:tr>
            <w:tr w14:paraId="5E70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dxa"/>
                  <w:gridSpan w:val="2"/>
                  <w:vAlign w:val="center"/>
                </w:tcPr>
                <w:p w14:paraId="63B671E0">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物流配送</w:t>
                  </w:r>
                </w:p>
              </w:tc>
              <w:tc>
                <w:tcPr>
                  <w:tcW w:w="2900" w:type="dxa"/>
                  <w:shd w:val="clear" w:color="auto" w:fill="auto"/>
                  <w:vAlign w:val="center"/>
                </w:tcPr>
                <w:p w14:paraId="796123DB">
                  <w:pPr>
                    <w:pStyle w:val="6"/>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本项目场外配送委托第三方进行配送</w:t>
                  </w:r>
                </w:p>
              </w:tc>
              <w:tc>
                <w:tcPr>
                  <w:tcW w:w="2912" w:type="dxa"/>
                  <w:shd w:val="clear" w:color="auto" w:fill="auto"/>
                  <w:vAlign w:val="center"/>
                </w:tcPr>
                <w:p w14:paraId="1F903AD5">
                  <w:pPr>
                    <w:pStyle w:val="5"/>
                    <w:ind w:left="0" w:leftChars="0" w:firstLine="0" w:firstLineChars="0"/>
                    <w:jc w:val="both"/>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本项目场外配送委托第三方进行配送</w:t>
                  </w:r>
                </w:p>
              </w:tc>
              <w:tc>
                <w:tcPr>
                  <w:tcW w:w="1622" w:type="dxa"/>
                  <w:vAlign w:val="center"/>
                </w:tcPr>
                <w:p w14:paraId="7A2FF45D">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无变化</w:t>
                  </w:r>
                </w:p>
              </w:tc>
            </w:tr>
            <w:tr w14:paraId="03B7B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restart"/>
                  <w:vAlign w:val="center"/>
                </w:tcPr>
                <w:p w14:paraId="7954AB8D">
                  <w:pPr>
                    <w:pStyle w:val="5"/>
                    <w:ind w:left="0" w:leftChars="0" w:firstLine="0" w:firstLineChars="0"/>
                    <w:jc w:val="center"/>
                    <w:rPr>
                      <w:rFonts w:hint="default" w:ascii="Times New Roman" w:hAnsi="Times New Roman" w:eastAsia="宋体" w:cs="Times New Roman"/>
                      <w:bCs/>
                      <w:sz w:val="21"/>
                      <w:szCs w:val="21"/>
                      <w:highlight w:val="yellow"/>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环保治理措施</w:t>
                  </w:r>
                </w:p>
              </w:tc>
              <w:tc>
                <w:tcPr>
                  <w:tcW w:w="445" w:type="dxa"/>
                  <w:vAlign w:val="center"/>
                </w:tcPr>
                <w:p w14:paraId="39F20CCE">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废气</w:t>
                  </w:r>
                </w:p>
              </w:tc>
              <w:tc>
                <w:tcPr>
                  <w:tcW w:w="2900" w:type="dxa"/>
                </w:tcPr>
                <w:p w14:paraId="40ED2CC0">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本项目营运期不产生废气。</w:t>
                  </w:r>
                </w:p>
              </w:tc>
              <w:tc>
                <w:tcPr>
                  <w:tcW w:w="2912" w:type="dxa"/>
                </w:tcPr>
                <w:p w14:paraId="56867AA3">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本项目营运期不产生废气。</w:t>
                  </w:r>
                </w:p>
              </w:tc>
              <w:tc>
                <w:tcPr>
                  <w:tcW w:w="1622" w:type="dxa"/>
                  <w:vAlign w:val="center"/>
                </w:tcPr>
                <w:p w14:paraId="385A23B9">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无变化</w:t>
                  </w:r>
                </w:p>
              </w:tc>
            </w:tr>
            <w:tr w14:paraId="030D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6D9FF363">
                  <w:pPr>
                    <w:pStyle w:val="5"/>
                    <w:ind w:left="0" w:leftChars="0" w:firstLine="0" w:firstLineChars="0"/>
                    <w:jc w:val="center"/>
                    <w:rPr>
                      <w:rFonts w:hint="eastAsia" w:ascii="Times New Roman" w:hAnsi="Times New Roman" w:eastAsia="宋体" w:cs="Times New Roman"/>
                      <w:bCs/>
                      <w:sz w:val="21"/>
                      <w:szCs w:val="21"/>
                      <w:highlight w:val="yellow"/>
                      <w:vertAlign w:val="baseline"/>
                      <w:lang w:val="en-US" w:eastAsia="zh-CN"/>
                    </w:rPr>
                  </w:pPr>
                </w:p>
              </w:tc>
              <w:tc>
                <w:tcPr>
                  <w:tcW w:w="445" w:type="dxa"/>
                  <w:vAlign w:val="center"/>
                </w:tcPr>
                <w:p w14:paraId="33BC5907">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废水</w:t>
                  </w:r>
                </w:p>
              </w:tc>
              <w:tc>
                <w:tcPr>
                  <w:tcW w:w="2900" w:type="dxa"/>
                </w:tcPr>
                <w:p w14:paraId="3DF05822">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本项目无新增废水</w:t>
                  </w:r>
                </w:p>
              </w:tc>
              <w:tc>
                <w:tcPr>
                  <w:tcW w:w="2912" w:type="dxa"/>
                </w:tcPr>
                <w:p w14:paraId="0AD30953">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本项目无新增废水</w:t>
                  </w:r>
                </w:p>
              </w:tc>
              <w:tc>
                <w:tcPr>
                  <w:tcW w:w="1622" w:type="dxa"/>
                  <w:vAlign w:val="center"/>
                </w:tcPr>
                <w:p w14:paraId="5F36EF3D">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无变化</w:t>
                  </w:r>
                </w:p>
              </w:tc>
            </w:tr>
            <w:tr w14:paraId="08A0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7F5FE97B">
                  <w:pPr>
                    <w:pStyle w:val="5"/>
                    <w:ind w:left="0" w:leftChars="0" w:firstLine="0" w:firstLineChars="0"/>
                    <w:jc w:val="center"/>
                    <w:rPr>
                      <w:rFonts w:hint="eastAsia" w:ascii="Times New Roman" w:hAnsi="Times New Roman" w:eastAsia="宋体" w:cs="Times New Roman"/>
                      <w:bCs/>
                      <w:sz w:val="21"/>
                      <w:szCs w:val="21"/>
                      <w:highlight w:val="yellow"/>
                      <w:vertAlign w:val="baseline"/>
                      <w:lang w:val="en-US" w:eastAsia="zh-CN"/>
                    </w:rPr>
                  </w:pPr>
                </w:p>
              </w:tc>
              <w:tc>
                <w:tcPr>
                  <w:tcW w:w="445" w:type="dxa"/>
                </w:tcPr>
                <w:p w14:paraId="1463476C">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噪声</w:t>
                  </w:r>
                </w:p>
              </w:tc>
              <w:tc>
                <w:tcPr>
                  <w:tcW w:w="2900" w:type="dxa"/>
                </w:tcPr>
                <w:p w14:paraId="111C2C36">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采用低噪声的设备</w:t>
                  </w:r>
                </w:p>
              </w:tc>
              <w:tc>
                <w:tcPr>
                  <w:tcW w:w="2912" w:type="dxa"/>
                </w:tcPr>
                <w:p w14:paraId="05CA02F6">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采用低噪声的设备</w:t>
                  </w:r>
                </w:p>
              </w:tc>
              <w:tc>
                <w:tcPr>
                  <w:tcW w:w="1622" w:type="dxa"/>
                </w:tcPr>
                <w:p w14:paraId="07CDA629">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无变化</w:t>
                  </w:r>
                </w:p>
              </w:tc>
            </w:tr>
            <w:tr w14:paraId="2CA7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56ED13EA">
                  <w:pPr>
                    <w:pStyle w:val="5"/>
                    <w:ind w:left="0" w:leftChars="0" w:firstLine="0" w:firstLineChars="0"/>
                    <w:jc w:val="center"/>
                    <w:rPr>
                      <w:rFonts w:hint="eastAsia" w:ascii="Times New Roman" w:hAnsi="Times New Roman" w:eastAsia="宋体" w:cs="Times New Roman"/>
                      <w:bCs/>
                      <w:sz w:val="21"/>
                      <w:szCs w:val="21"/>
                      <w:highlight w:val="yellow"/>
                      <w:vertAlign w:val="baseline"/>
                      <w:lang w:val="en-US" w:eastAsia="zh-CN"/>
                    </w:rPr>
                  </w:pPr>
                </w:p>
              </w:tc>
              <w:tc>
                <w:tcPr>
                  <w:tcW w:w="445" w:type="dxa"/>
                  <w:vAlign w:val="center"/>
                </w:tcPr>
                <w:p w14:paraId="20168CBF">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固体废物</w:t>
                  </w:r>
                </w:p>
              </w:tc>
              <w:tc>
                <w:tcPr>
                  <w:tcW w:w="2900" w:type="dxa"/>
                </w:tcPr>
                <w:p w14:paraId="330C7A81">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本项目危废间为备用，三厂产生的固体废物首先依托三厂在建危废间，危废处置单位每天清运，当天无法清运且三厂在建危废间超容的情况使用备用危废间</w:t>
                  </w:r>
                </w:p>
              </w:tc>
              <w:tc>
                <w:tcPr>
                  <w:tcW w:w="2912" w:type="dxa"/>
                </w:tcPr>
                <w:p w14:paraId="11B9EA92">
                  <w:pPr>
                    <w:pStyle w:val="5"/>
                    <w:ind w:left="0" w:leftChars="0" w:firstLine="0" w:firstLineChars="0"/>
                    <w:jc w:val="center"/>
                    <w:rPr>
                      <w:rFonts w:hint="eastAsia"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本项目危废间为备用，三厂产生的固体废物首先依托三厂危废间，危废处置单位每天清运，当天无法清运且三厂危废间超容的情况使用备用危废间</w:t>
                  </w:r>
                </w:p>
                <w:p w14:paraId="6BE28978">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p>
              </w:tc>
              <w:tc>
                <w:tcPr>
                  <w:tcW w:w="1622" w:type="dxa"/>
                  <w:vAlign w:val="center"/>
                </w:tcPr>
                <w:p w14:paraId="7593D94E">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无变化</w:t>
                  </w:r>
                </w:p>
              </w:tc>
            </w:tr>
            <w:tr w14:paraId="34B6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vMerge w:val="continue"/>
                </w:tcPr>
                <w:p w14:paraId="383E211D">
                  <w:pPr>
                    <w:pStyle w:val="5"/>
                    <w:ind w:left="0" w:leftChars="0" w:firstLine="0" w:firstLineChars="0"/>
                    <w:jc w:val="center"/>
                    <w:rPr>
                      <w:rFonts w:hint="eastAsia" w:ascii="Times New Roman" w:hAnsi="Times New Roman" w:eastAsia="宋体" w:cs="Times New Roman"/>
                      <w:bCs/>
                      <w:sz w:val="21"/>
                      <w:szCs w:val="21"/>
                      <w:highlight w:val="yellow"/>
                      <w:vertAlign w:val="baseline"/>
                      <w:lang w:val="en-US" w:eastAsia="zh-CN"/>
                    </w:rPr>
                  </w:pPr>
                </w:p>
              </w:tc>
              <w:tc>
                <w:tcPr>
                  <w:tcW w:w="445" w:type="dxa"/>
                </w:tcPr>
                <w:p w14:paraId="37DDFC33">
                  <w:pPr>
                    <w:pStyle w:val="5"/>
                    <w:ind w:left="0" w:leftChars="0" w:firstLine="0" w:firstLineChars="0"/>
                    <w:jc w:val="center"/>
                    <w:rPr>
                      <w:rFonts w:hint="default"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环境风险</w:t>
                  </w:r>
                </w:p>
              </w:tc>
              <w:tc>
                <w:tcPr>
                  <w:tcW w:w="2900" w:type="dxa"/>
                </w:tcPr>
                <w:p w14:paraId="25F6B36F">
                  <w:pPr>
                    <w:pStyle w:val="5"/>
                    <w:ind w:left="0" w:leftChars="0" w:firstLine="0" w:firstLineChars="0"/>
                    <w:jc w:val="center"/>
                    <w:rPr>
                      <w:rFonts w:hint="eastAsia" w:ascii="Times New Roman" w:hAnsi="Times New Roman" w:eastAsia="宋体" w:cs="Times New Roman"/>
                      <w:bCs/>
                      <w:kern w:val="2"/>
                      <w:sz w:val="21"/>
                      <w:szCs w:val="21"/>
                      <w:highlight w:val="none"/>
                      <w:vertAlign w:val="baseline"/>
                      <w:lang w:val="en-US" w:eastAsia="zh-CN" w:bidi="ar-SA"/>
                    </w:rPr>
                  </w:pPr>
                  <w:r>
                    <w:rPr>
                      <w:rFonts w:hint="eastAsia" w:ascii="Times New Roman" w:hAnsi="Times New Roman" w:eastAsia="宋体" w:cs="Times New Roman"/>
                      <w:bCs/>
                      <w:kern w:val="2"/>
                      <w:sz w:val="21"/>
                      <w:szCs w:val="21"/>
                      <w:highlight w:val="none"/>
                      <w:vertAlign w:val="baseline"/>
                      <w:lang w:val="en-US" w:eastAsia="zh-CN" w:bidi="ar-SA"/>
                    </w:rPr>
                    <w:t>项目每个隔间均设置截流沟和集液坑；化学品库房地面采用高密度聚乙烯防渗层；各隔间均安装视频监控系统；甲类库和危废暂存间设置可燃气体探测器及烟感探测器；药剂间及易制爆化学品间设置烟感探测器。</w:t>
                  </w:r>
                </w:p>
              </w:tc>
              <w:tc>
                <w:tcPr>
                  <w:tcW w:w="2912" w:type="dxa"/>
                </w:tcPr>
                <w:p w14:paraId="40FEDA9F">
                  <w:pPr>
                    <w:pStyle w:val="41"/>
                    <w:spacing w:line="276" w:lineRule="auto"/>
                    <w:jc w:val="both"/>
                    <w:rPr>
                      <w:rFonts w:hint="eastAsia" w:ascii="Times New Roman" w:hAnsi="Times New Roman" w:cs="Times New Roman"/>
                      <w:color w:val="000000" w:themeColor="text1"/>
                      <w:sz w:val="21"/>
                      <w:szCs w:val="21"/>
                      <w:highlight w:val="yellow"/>
                      <w:lang w:val="en-US" w:eastAsia="zh-CN"/>
                      <w14:textFill>
                        <w14:solidFill>
                          <w14:schemeClr w14:val="tx1"/>
                        </w14:solidFill>
                      </w14:textFill>
                    </w:rPr>
                  </w:pPr>
                  <w:r>
                    <w:rPr>
                      <w:rFonts w:hint="eastAsia" w:ascii="Times New Roman" w:hAnsi="Times New Roman" w:eastAsia="宋体" w:cs="Times New Roman"/>
                      <w:bCs/>
                      <w:kern w:val="2"/>
                      <w:sz w:val="21"/>
                      <w:szCs w:val="21"/>
                      <w:highlight w:val="none"/>
                      <w:vertAlign w:val="baseline"/>
                      <w:lang w:val="en-US" w:eastAsia="zh-CN" w:bidi="ar-SA"/>
                    </w:rPr>
                    <w:t>项目每个隔间均设置截流沟和集液坑；化学品库房地面采用高密度聚乙烯防渗层；各隔间均安装视频监控系统；甲类库和危废暂存间设置可燃气体探测器及烟感探测器；药剂间及易制爆化学品间设置烟感探测器。</w:t>
                  </w:r>
                </w:p>
              </w:tc>
              <w:tc>
                <w:tcPr>
                  <w:tcW w:w="1622" w:type="dxa"/>
                  <w:vAlign w:val="center"/>
                </w:tcPr>
                <w:p w14:paraId="51FB94A6">
                  <w:pPr>
                    <w:pStyle w:val="5"/>
                    <w:ind w:left="0" w:leftChars="0" w:firstLine="0" w:firstLineChars="0"/>
                    <w:jc w:val="center"/>
                    <w:rPr>
                      <w:rFonts w:hint="default" w:ascii="Times New Roman" w:hAnsi="Times New Roman" w:eastAsia="宋体" w:cs="Times New Roman"/>
                      <w:bCs/>
                      <w:sz w:val="21"/>
                      <w:szCs w:val="21"/>
                      <w:highlight w:val="yellow"/>
                      <w:vertAlign w:val="baseline"/>
                      <w:lang w:val="en-US" w:eastAsia="zh-CN"/>
                    </w:rPr>
                  </w:pPr>
                  <w:r>
                    <w:rPr>
                      <w:rFonts w:hint="eastAsia" w:ascii="Times New Roman" w:hAnsi="Times New Roman" w:eastAsia="宋体" w:cs="Times New Roman"/>
                      <w:bCs/>
                      <w:sz w:val="21"/>
                      <w:szCs w:val="21"/>
                      <w:highlight w:val="none"/>
                      <w:vertAlign w:val="baseline"/>
                      <w:lang w:val="en-US" w:eastAsia="zh-CN"/>
                    </w:rPr>
                    <w:t>无变化</w:t>
                  </w:r>
                </w:p>
              </w:tc>
            </w:tr>
          </w:tbl>
          <w:p w14:paraId="368A0D91">
            <w:pPr>
              <w:pStyle w:val="5"/>
              <w:ind w:left="0" w:leftChars="0" w:firstLine="0" w:firstLineChars="0"/>
              <w:rPr>
                <w:rFonts w:ascii="Times New Roman" w:hAnsi="Times New Roman" w:cs="Times New Roman"/>
                <w:bCs/>
                <w:sz w:val="24"/>
                <w:szCs w:val="24"/>
                <w:highlight w:val="yellow"/>
              </w:rPr>
            </w:pPr>
          </w:p>
          <w:p w14:paraId="086941D0">
            <w:pPr>
              <w:pStyle w:val="47"/>
              <w:rPr>
                <w:rFonts w:ascii="Times New Roman" w:hAnsi="Times New Roman" w:cs="Times New Roman"/>
                <w:color w:val="auto"/>
                <w:highlight w:val="yellow"/>
              </w:rPr>
            </w:pPr>
          </w:p>
        </w:tc>
      </w:tr>
      <w:tr w14:paraId="1BF7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7" w:type="dxa"/>
          </w:tcPr>
          <w:p w14:paraId="16A3B4AE">
            <w:pPr>
              <w:spacing w:line="360" w:lineRule="auto"/>
              <w:rPr>
                <w:rFonts w:hint="default" w:ascii="Times New Roman" w:hAnsi="Times New Roman" w:cs="Times New Roman" w:eastAsiaTheme="minorEastAsia"/>
                <w:b/>
                <w:bCs/>
                <w:color w:val="000000" w:themeColor="text1"/>
                <w:sz w:val="24"/>
                <w:szCs w:val="24"/>
                <w:highlight w:val="none"/>
                <w:lang w:val="en-US" w:eastAsia="zh-CN"/>
                <w14:textFill>
                  <w14:solidFill>
                    <w14:schemeClr w14:val="tx1"/>
                  </w14:solidFill>
                </w14:textFill>
              </w:rPr>
            </w:pPr>
            <w:bookmarkStart w:id="9" w:name="_Toc498422718"/>
            <w:bookmarkStart w:id="10" w:name="_Toc498422795"/>
            <w:bookmarkStart w:id="11" w:name="_Toc498422970"/>
            <w:bookmarkStart w:id="12" w:name="_Toc498422887"/>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原辅材料消耗及水平衡</w:t>
            </w:r>
          </w:p>
          <w:p w14:paraId="56040DB2">
            <w:pPr>
              <w:spacing w:line="360" w:lineRule="auto"/>
              <w:ind w:firstLine="480"/>
              <w:jc w:val="left"/>
              <w:rPr>
                <w:rFonts w:hint="default" w:ascii="Times New Roman" w:hAnsi="Times New Roman" w:cs="Times New Roman" w:eastAsiaTheme="minorEastAsia"/>
                <w:bCs/>
                <w:sz w:val="24"/>
                <w:szCs w:val="24"/>
                <w:highlight w:val="none"/>
                <w:lang w:val="en-US" w:eastAsia="zh-CN"/>
              </w:rPr>
            </w:pPr>
            <w:bookmarkStart w:id="13" w:name="_Hlk105944937"/>
            <w:r>
              <w:rPr>
                <w:rFonts w:hint="eastAsia" w:ascii="Times New Roman" w:hAnsi="Times New Roman" w:cs="Times New Roman"/>
                <w:bCs/>
                <w:sz w:val="24"/>
                <w:szCs w:val="24"/>
                <w:highlight w:val="none"/>
                <w:lang w:val="en-US" w:eastAsia="zh-CN"/>
              </w:rPr>
              <w:t>本项目不涉及生产，无原辅材料消耗。</w:t>
            </w:r>
          </w:p>
          <w:p w14:paraId="32A4BAFA">
            <w:pPr>
              <w:spacing w:line="360" w:lineRule="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本项目</w:t>
            </w:r>
            <w:r>
              <w:rPr>
                <w:rFonts w:hint="eastAsia" w:ascii="Times New Roman" w:hAnsi="Times New Roman" w:cs="Times New Roman"/>
                <w:b/>
                <w:bCs/>
                <w:sz w:val="24"/>
                <w:szCs w:val="24"/>
                <w:highlight w:val="none"/>
              </w:rPr>
              <w:t>设备</w:t>
            </w:r>
            <w:r>
              <w:rPr>
                <w:rFonts w:ascii="Times New Roman" w:hAnsi="Times New Roman" w:cs="Times New Roman"/>
                <w:b/>
                <w:bCs/>
                <w:sz w:val="24"/>
                <w:szCs w:val="24"/>
                <w:highlight w:val="none"/>
              </w:rPr>
              <w:t>情况：</w:t>
            </w:r>
          </w:p>
          <w:p w14:paraId="68C9B645">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环评阶段与</w:t>
            </w:r>
            <w:r>
              <w:rPr>
                <w:rFonts w:hint="eastAsia" w:ascii="Times New Roman" w:hAnsi="Times New Roman" w:cs="Times New Roman"/>
                <w:sz w:val="24"/>
                <w:highlight w:val="none"/>
              </w:rPr>
              <w:t>实际建设过程中设备对</w:t>
            </w:r>
            <w:r>
              <w:rPr>
                <w:rFonts w:ascii="Times New Roman" w:hAnsi="Times New Roman" w:cs="Times New Roman"/>
                <w:sz w:val="24"/>
                <w:highlight w:val="none"/>
              </w:rPr>
              <w:t>比表如下：</w:t>
            </w:r>
          </w:p>
          <w:p w14:paraId="16312D24">
            <w:pPr>
              <w:adjustRightInd w:val="0"/>
              <w:snapToGrid w:val="0"/>
              <w:jc w:val="center"/>
              <w:rPr>
                <w:rFonts w:ascii="Times New Roman" w:hAnsi="Times New Roman" w:cs="Times New Roman"/>
                <w:bCs/>
                <w:sz w:val="24"/>
                <w:szCs w:val="24"/>
                <w:highlight w:val="yellow"/>
              </w:rPr>
            </w:pPr>
          </w:p>
          <w:p w14:paraId="116C2B5F">
            <w:pPr>
              <w:adjustRightInd w:val="0"/>
              <w:snapToGrid w:val="0"/>
              <w:jc w:val="center"/>
              <w:rPr>
                <w:rFonts w:ascii="Times New Roman" w:hAnsi="Times New Roman" w:cs="Times New Roman"/>
                <w:bCs/>
                <w:sz w:val="24"/>
                <w:szCs w:val="24"/>
                <w:highlight w:val="yellow"/>
              </w:rPr>
            </w:pPr>
          </w:p>
          <w:p w14:paraId="2594D535">
            <w:pPr>
              <w:adjustRightInd w:val="0"/>
              <w:snapToGrid w:val="0"/>
              <w:jc w:val="center"/>
              <w:rPr>
                <w:rFonts w:ascii="Times New Roman" w:hAnsi="Times New Roman" w:cs="Times New Roman"/>
                <w:bCs/>
                <w:sz w:val="24"/>
                <w:szCs w:val="24"/>
                <w:highlight w:val="yellow"/>
              </w:rPr>
            </w:pPr>
          </w:p>
          <w:p w14:paraId="6B540884">
            <w:pPr>
              <w:adjustRightInd w:val="0"/>
              <w:snapToGrid w:val="0"/>
              <w:jc w:val="center"/>
              <w:rPr>
                <w:rFonts w:ascii="Times New Roman" w:hAnsi="Times New Roman" w:cs="Times New Roman"/>
                <w:bCs/>
                <w:sz w:val="24"/>
                <w:szCs w:val="24"/>
                <w:highlight w:val="none"/>
              </w:rPr>
            </w:pPr>
            <w:r>
              <w:rPr>
                <w:rFonts w:ascii="Times New Roman" w:hAnsi="Times New Roman" w:cs="Times New Roman"/>
                <w:bCs/>
                <w:sz w:val="24"/>
                <w:szCs w:val="24"/>
                <w:highlight w:val="none"/>
              </w:rPr>
              <w:t>表2-</w:t>
            </w:r>
            <w:r>
              <w:rPr>
                <w:rFonts w:hint="eastAsia" w:ascii="Times New Roman" w:hAnsi="Times New Roman" w:cs="Times New Roman"/>
                <w:bCs/>
                <w:sz w:val="24"/>
                <w:szCs w:val="24"/>
                <w:highlight w:val="none"/>
                <w:lang w:val="en-US" w:eastAsia="zh-CN"/>
              </w:rPr>
              <w:t>3</w:t>
            </w:r>
            <w:r>
              <w:rPr>
                <w:rFonts w:hint="eastAsia" w:ascii="Times New Roman" w:hAnsi="Times New Roman" w:cs="Times New Roman"/>
                <w:bCs/>
                <w:sz w:val="24"/>
                <w:szCs w:val="24"/>
                <w:highlight w:val="none"/>
              </w:rPr>
              <w:t xml:space="preserve"> 主要生产设备一览表</w:t>
            </w:r>
          </w:p>
          <w:tbl>
            <w:tblPr>
              <w:tblStyle w:val="19"/>
              <w:tblW w:w="50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700"/>
              <w:gridCol w:w="1552"/>
              <w:gridCol w:w="1320"/>
              <w:gridCol w:w="1365"/>
              <w:gridCol w:w="1155"/>
              <w:gridCol w:w="1026"/>
            </w:tblGrid>
            <w:tr w14:paraId="292D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325" w:type="pct"/>
                  <w:vMerge w:val="restart"/>
                  <w:vAlign w:val="center"/>
                </w:tcPr>
                <w:p w14:paraId="66BEBAC8">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序号</w:t>
                  </w:r>
                </w:p>
              </w:tc>
              <w:tc>
                <w:tcPr>
                  <w:tcW w:w="978" w:type="pct"/>
                  <w:vMerge w:val="restart"/>
                  <w:vAlign w:val="center"/>
                </w:tcPr>
                <w:p w14:paraId="2BB5CC9F">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设备名称</w:t>
                  </w:r>
                </w:p>
              </w:tc>
              <w:tc>
                <w:tcPr>
                  <w:tcW w:w="1653" w:type="pct"/>
                  <w:gridSpan w:val="2"/>
                  <w:vAlign w:val="center"/>
                </w:tcPr>
                <w:p w14:paraId="13A7D6F8">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环评阶段</w:t>
                  </w:r>
                </w:p>
              </w:tc>
              <w:tc>
                <w:tcPr>
                  <w:tcW w:w="1450" w:type="pct"/>
                  <w:gridSpan w:val="2"/>
                  <w:vAlign w:val="center"/>
                </w:tcPr>
                <w:p w14:paraId="643A3F9A">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实际建设过程</w:t>
                  </w:r>
                </w:p>
              </w:tc>
              <w:tc>
                <w:tcPr>
                  <w:tcW w:w="590" w:type="pct"/>
                  <w:vMerge w:val="restart"/>
                  <w:vAlign w:val="center"/>
                </w:tcPr>
                <w:p w14:paraId="27DD6BD1">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lang w:val="en-US" w:eastAsia="zh-CN"/>
                    </w:rPr>
                    <w:t>与环评阶段</w:t>
                  </w:r>
                  <w:r>
                    <w:rPr>
                      <w:rFonts w:hint="default" w:ascii="Times New Roman" w:hAnsi="Times New Roman" w:cs="Times New Roman"/>
                      <w:b/>
                      <w:bCs/>
                      <w:szCs w:val="21"/>
                      <w:highlight w:val="none"/>
                    </w:rPr>
                    <w:t>变化情况</w:t>
                  </w:r>
                </w:p>
              </w:tc>
            </w:tr>
            <w:tr w14:paraId="1A56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25" w:type="pct"/>
                  <w:vMerge w:val="continue"/>
                  <w:vAlign w:val="center"/>
                </w:tcPr>
                <w:p w14:paraId="13F8C2CE">
                  <w:pPr>
                    <w:autoSpaceDE w:val="0"/>
                    <w:autoSpaceDN w:val="0"/>
                    <w:adjustRightInd w:val="0"/>
                    <w:rPr>
                      <w:rFonts w:hint="default" w:ascii="Times New Roman" w:hAnsi="Times New Roman" w:cs="Times New Roman"/>
                      <w:szCs w:val="21"/>
                      <w:highlight w:val="none"/>
                    </w:rPr>
                  </w:pPr>
                </w:p>
              </w:tc>
              <w:tc>
                <w:tcPr>
                  <w:tcW w:w="978" w:type="pct"/>
                  <w:vMerge w:val="continue"/>
                  <w:vAlign w:val="center"/>
                </w:tcPr>
                <w:p w14:paraId="488405AC">
                  <w:pPr>
                    <w:autoSpaceDE w:val="0"/>
                    <w:autoSpaceDN w:val="0"/>
                    <w:adjustRightInd w:val="0"/>
                    <w:rPr>
                      <w:rFonts w:hint="default" w:ascii="Times New Roman" w:hAnsi="Times New Roman" w:cs="Times New Roman"/>
                      <w:szCs w:val="21"/>
                      <w:highlight w:val="none"/>
                    </w:rPr>
                  </w:pPr>
                </w:p>
              </w:tc>
              <w:tc>
                <w:tcPr>
                  <w:tcW w:w="893" w:type="pct"/>
                  <w:vAlign w:val="center"/>
                </w:tcPr>
                <w:p w14:paraId="2D86E393">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规格与型号</w:t>
                  </w:r>
                </w:p>
              </w:tc>
              <w:tc>
                <w:tcPr>
                  <w:tcW w:w="760" w:type="pct"/>
                  <w:vAlign w:val="center"/>
                </w:tcPr>
                <w:p w14:paraId="569FC2AB">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数量</w:t>
                  </w:r>
                </w:p>
                <w:p w14:paraId="793C354E">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台（套）</w:t>
                  </w:r>
                </w:p>
              </w:tc>
              <w:tc>
                <w:tcPr>
                  <w:tcW w:w="785" w:type="pct"/>
                  <w:vAlign w:val="center"/>
                </w:tcPr>
                <w:p w14:paraId="580BC80D">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规格与型号</w:t>
                  </w:r>
                </w:p>
              </w:tc>
              <w:tc>
                <w:tcPr>
                  <w:tcW w:w="665" w:type="pct"/>
                  <w:vAlign w:val="center"/>
                </w:tcPr>
                <w:p w14:paraId="64E91CD9">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数量</w:t>
                  </w:r>
                </w:p>
                <w:p w14:paraId="571FDC2B">
                  <w:pPr>
                    <w:autoSpaceDE w:val="0"/>
                    <w:autoSpaceDN w:val="0"/>
                    <w:adjustRightInd w:val="0"/>
                    <w:jc w:val="center"/>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台（套）</w:t>
                  </w:r>
                </w:p>
              </w:tc>
              <w:tc>
                <w:tcPr>
                  <w:tcW w:w="590" w:type="pct"/>
                  <w:vMerge w:val="continue"/>
                  <w:vAlign w:val="center"/>
                </w:tcPr>
                <w:p w14:paraId="5C2B025D">
                  <w:pPr>
                    <w:autoSpaceDE w:val="0"/>
                    <w:autoSpaceDN w:val="0"/>
                    <w:adjustRightInd w:val="0"/>
                    <w:jc w:val="center"/>
                    <w:rPr>
                      <w:rFonts w:hint="default" w:ascii="Times New Roman" w:hAnsi="Times New Roman" w:cs="Times New Roman"/>
                      <w:szCs w:val="21"/>
                      <w:highlight w:val="none"/>
                    </w:rPr>
                  </w:pPr>
                </w:p>
              </w:tc>
            </w:tr>
            <w:tr w14:paraId="3505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5" w:type="pct"/>
                  <w:vAlign w:val="center"/>
                </w:tcPr>
                <w:p w14:paraId="54AB07F2">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978" w:type="pct"/>
                  <w:vAlign w:val="center"/>
                </w:tcPr>
                <w:p w14:paraId="5E4A6DB1">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全新风空调箱</w:t>
                  </w:r>
                </w:p>
              </w:tc>
              <w:tc>
                <w:tcPr>
                  <w:tcW w:w="893" w:type="pct"/>
                  <w:vAlign w:val="center"/>
                </w:tcPr>
                <w:p w14:paraId="0A98386D">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19000m</w:t>
                  </w:r>
                  <w:r>
                    <w:rPr>
                      <w:rFonts w:hint="default" w:ascii="Times New Roman" w:hAnsi="Times New Roman" w:cs="Times New Roman"/>
                      <w:szCs w:val="21"/>
                      <w:highlight w:val="none"/>
                      <w:vertAlign w:val="superscript"/>
                    </w:rPr>
                    <w:t>3</w:t>
                  </w:r>
                  <w:r>
                    <w:rPr>
                      <w:rFonts w:hint="default" w:ascii="Times New Roman" w:hAnsi="Times New Roman" w:cs="Times New Roman"/>
                      <w:szCs w:val="21"/>
                      <w:highlight w:val="none"/>
                    </w:rPr>
                    <w:t>/h</w:t>
                  </w:r>
                </w:p>
              </w:tc>
              <w:tc>
                <w:tcPr>
                  <w:tcW w:w="760" w:type="pct"/>
                  <w:vAlign w:val="center"/>
                </w:tcPr>
                <w:p w14:paraId="15975EE8">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1</w:t>
                  </w:r>
                </w:p>
              </w:tc>
              <w:tc>
                <w:tcPr>
                  <w:tcW w:w="785" w:type="pct"/>
                  <w:shd w:val="clear" w:color="auto" w:fill="auto"/>
                  <w:vAlign w:val="center"/>
                </w:tcPr>
                <w:p w14:paraId="10679CEC">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19000m</w:t>
                  </w:r>
                  <w:r>
                    <w:rPr>
                      <w:rFonts w:hint="default" w:ascii="Times New Roman" w:hAnsi="Times New Roman" w:cs="Times New Roman"/>
                      <w:szCs w:val="21"/>
                      <w:highlight w:val="none"/>
                      <w:vertAlign w:val="superscript"/>
                    </w:rPr>
                    <w:t>3</w:t>
                  </w:r>
                  <w:r>
                    <w:rPr>
                      <w:rFonts w:hint="default" w:ascii="Times New Roman" w:hAnsi="Times New Roman" w:cs="Times New Roman"/>
                      <w:szCs w:val="21"/>
                      <w:highlight w:val="none"/>
                    </w:rPr>
                    <w:t>/h</w:t>
                  </w:r>
                </w:p>
              </w:tc>
              <w:tc>
                <w:tcPr>
                  <w:tcW w:w="665" w:type="pct"/>
                  <w:shd w:val="clear" w:color="auto" w:fill="auto"/>
                  <w:vAlign w:val="center"/>
                </w:tcPr>
                <w:p w14:paraId="670B9D80">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1</w:t>
                  </w:r>
                </w:p>
              </w:tc>
              <w:tc>
                <w:tcPr>
                  <w:tcW w:w="590" w:type="pct"/>
                  <w:vMerge w:val="restart"/>
                  <w:vAlign w:val="center"/>
                </w:tcPr>
                <w:p w14:paraId="7336BA92">
                  <w:pPr>
                    <w:autoSpaceDE w:val="0"/>
                    <w:autoSpaceDN w:val="0"/>
                    <w:adjustRightIn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与环评一致</w:t>
                  </w:r>
                </w:p>
              </w:tc>
            </w:tr>
            <w:tr w14:paraId="7D5C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jc w:val="center"/>
              </w:trPr>
              <w:tc>
                <w:tcPr>
                  <w:tcW w:w="325" w:type="pct"/>
                  <w:vAlign w:val="center"/>
                </w:tcPr>
                <w:p w14:paraId="39D12C2C">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2</w:t>
                  </w:r>
                </w:p>
              </w:tc>
              <w:tc>
                <w:tcPr>
                  <w:tcW w:w="978" w:type="pct"/>
                  <w:vAlign w:val="center"/>
                </w:tcPr>
                <w:p w14:paraId="5757AF7D">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全新风直膨机组</w:t>
                  </w:r>
                </w:p>
              </w:tc>
              <w:tc>
                <w:tcPr>
                  <w:tcW w:w="893" w:type="pct"/>
                  <w:vAlign w:val="center"/>
                </w:tcPr>
                <w:p w14:paraId="1C1B00B8">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19000m</w:t>
                  </w:r>
                  <w:r>
                    <w:rPr>
                      <w:rFonts w:hint="default" w:ascii="Times New Roman" w:hAnsi="Times New Roman" w:cs="Times New Roman"/>
                      <w:szCs w:val="21"/>
                      <w:highlight w:val="none"/>
                      <w:vertAlign w:val="superscript"/>
                    </w:rPr>
                    <w:t>3</w:t>
                  </w:r>
                  <w:r>
                    <w:rPr>
                      <w:rFonts w:hint="default" w:ascii="Times New Roman" w:hAnsi="Times New Roman" w:cs="Times New Roman"/>
                      <w:szCs w:val="21"/>
                      <w:highlight w:val="none"/>
                    </w:rPr>
                    <w:t>/h</w:t>
                  </w:r>
                </w:p>
              </w:tc>
              <w:tc>
                <w:tcPr>
                  <w:tcW w:w="760" w:type="pct"/>
                  <w:vAlign w:val="center"/>
                </w:tcPr>
                <w:p w14:paraId="6FCF708A">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1</w:t>
                  </w:r>
                </w:p>
              </w:tc>
              <w:tc>
                <w:tcPr>
                  <w:tcW w:w="785" w:type="pct"/>
                  <w:shd w:val="clear" w:color="auto" w:fill="auto"/>
                  <w:vAlign w:val="center"/>
                </w:tcPr>
                <w:p w14:paraId="1F07DE2A">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19000m</w:t>
                  </w:r>
                  <w:r>
                    <w:rPr>
                      <w:rFonts w:hint="default" w:ascii="Times New Roman" w:hAnsi="Times New Roman" w:cs="Times New Roman"/>
                      <w:szCs w:val="21"/>
                      <w:highlight w:val="none"/>
                      <w:vertAlign w:val="superscript"/>
                    </w:rPr>
                    <w:t>3</w:t>
                  </w:r>
                  <w:r>
                    <w:rPr>
                      <w:rFonts w:hint="default" w:ascii="Times New Roman" w:hAnsi="Times New Roman" w:cs="Times New Roman"/>
                      <w:szCs w:val="21"/>
                      <w:highlight w:val="none"/>
                    </w:rPr>
                    <w:t>/h</w:t>
                  </w:r>
                </w:p>
              </w:tc>
              <w:tc>
                <w:tcPr>
                  <w:tcW w:w="665" w:type="pct"/>
                  <w:shd w:val="clear" w:color="auto" w:fill="auto"/>
                  <w:vAlign w:val="center"/>
                </w:tcPr>
                <w:p w14:paraId="4FE75678">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1</w:t>
                  </w:r>
                </w:p>
              </w:tc>
              <w:tc>
                <w:tcPr>
                  <w:tcW w:w="590" w:type="pct"/>
                  <w:vMerge w:val="continue"/>
                  <w:vAlign w:val="center"/>
                </w:tcPr>
                <w:p w14:paraId="52D80C94">
                  <w:pPr>
                    <w:autoSpaceDE w:val="0"/>
                    <w:autoSpaceDN w:val="0"/>
                    <w:adjustRightInd w:val="0"/>
                    <w:jc w:val="center"/>
                    <w:rPr>
                      <w:rFonts w:hint="default" w:ascii="Times New Roman" w:hAnsi="Times New Roman" w:cs="Times New Roman"/>
                      <w:szCs w:val="21"/>
                      <w:highlight w:val="none"/>
                    </w:rPr>
                  </w:pPr>
                </w:p>
              </w:tc>
            </w:tr>
            <w:tr w14:paraId="6999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5" w:type="pct"/>
                  <w:vAlign w:val="center"/>
                </w:tcPr>
                <w:p w14:paraId="7A849A95">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3</w:t>
                  </w:r>
                </w:p>
              </w:tc>
              <w:tc>
                <w:tcPr>
                  <w:tcW w:w="978" w:type="pct"/>
                  <w:vAlign w:val="center"/>
                </w:tcPr>
                <w:p w14:paraId="5E725CF8">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防爆事故排风机</w:t>
                  </w:r>
                </w:p>
              </w:tc>
              <w:tc>
                <w:tcPr>
                  <w:tcW w:w="893" w:type="pct"/>
                  <w:vAlign w:val="center"/>
                </w:tcPr>
                <w:p w14:paraId="1E2EC08E">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14800CMH</w:t>
                  </w:r>
                </w:p>
              </w:tc>
              <w:tc>
                <w:tcPr>
                  <w:tcW w:w="760" w:type="pct"/>
                  <w:vAlign w:val="center"/>
                </w:tcPr>
                <w:p w14:paraId="6409301D">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1用1备</w:t>
                  </w:r>
                </w:p>
              </w:tc>
              <w:tc>
                <w:tcPr>
                  <w:tcW w:w="785" w:type="pct"/>
                  <w:shd w:val="clear" w:color="auto" w:fill="auto"/>
                  <w:vAlign w:val="center"/>
                </w:tcPr>
                <w:p w14:paraId="3FE149F1">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14800CMH</w:t>
                  </w:r>
                </w:p>
              </w:tc>
              <w:tc>
                <w:tcPr>
                  <w:tcW w:w="665" w:type="pct"/>
                  <w:shd w:val="clear" w:color="auto" w:fill="auto"/>
                  <w:vAlign w:val="center"/>
                </w:tcPr>
                <w:p w14:paraId="543C5D49">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1用1备</w:t>
                  </w:r>
                </w:p>
              </w:tc>
              <w:tc>
                <w:tcPr>
                  <w:tcW w:w="590" w:type="pct"/>
                  <w:vMerge w:val="continue"/>
                  <w:vAlign w:val="center"/>
                </w:tcPr>
                <w:p w14:paraId="0945C21F">
                  <w:pPr>
                    <w:autoSpaceDE w:val="0"/>
                    <w:autoSpaceDN w:val="0"/>
                    <w:adjustRightInd w:val="0"/>
                    <w:jc w:val="center"/>
                    <w:rPr>
                      <w:rFonts w:hint="default" w:ascii="Times New Roman" w:hAnsi="Times New Roman" w:cs="Times New Roman"/>
                      <w:szCs w:val="21"/>
                      <w:highlight w:val="none"/>
                    </w:rPr>
                  </w:pPr>
                </w:p>
              </w:tc>
            </w:tr>
            <w:tr w14:paraId="7C7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5" w:type="pct"/>
                  <w:vAlign w:val="center"/>
                </w:tcPr>
                <w:p w14:paraId="6B5B5982">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4</w:t>
                  </w:r>
                </w:p>
              </w:tc>
              <w:tc>
                <w:tcPr>
                  <w:tcW w:w="978" w:type="pct"/>
                  <w:vAlign w:val="center"/>
                </w:tcPr>
                <w:p w14:paraId="7C5DB038">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防爆事故排风机</w:t>
                  </w:r>
                </w:p>
              </w:tc>
              <w:tc>
                <w:tcPr>
                  <w:tcW w:w="893" w:type="pct"/>
                  <w:vAlign w:val="center"/>
                </w:tcPr>
                <w:p w14:paraId="4A917A6A">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1900CMH</w:t>
                  </w:r>
                </w:p>
              </w:tc>
              <w:tc>
                <w:tcPr>
                  <w:tcW w:w="760" w:type="pct"/>
                  <w:vAlign w:val="center"/>
                </w:tcPr>
                <w:p w14:paraId="240D965C">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1用1备</w:t>
                  </w:r>
                </w:p>
              </w:tc>
              <w:tc>
                <w:tcPr>
                  <w:tcW w:w="785" w:type="pct"/>
                  <w:shd w:val="clear" w:color="auto" w:fill="auto"/>
                  <w:vAlign w:val="center"/>
                </w:tcPr>
                <w:p w14:paraId="4A188343">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1900CMH</w:t>
                  </w:r>
                </w:p>
              </w:tc>
              <w:tc>
                <w:tcPr>
                  <w:tcW w:w="665" w:type="pct"/>
                  <w:shd w:val="clear" w:color="auto" w:fill="auto"/>
                  <w:vAlign w:val="center"/>
                </w:tcPr>
                <w:p w14:paraId="44912C5D">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1用1备</w:t>
                  </w:r>
                </w:p>
              </w:tc>
              <w:tc>
                <w:tcPr>
                  <w:tcW w:w="590" w:type="pct"/>
                  <w:vMerge w:val="continue"/>
                  <w:vAlign w:val="center"/>
                </w:tcPr>
                <w:p w14:paraId="239E8920">
                  <w:pPr>
                    <w:autoSpaceDE w:val="0"/>
                    <w:autoSpaceDN w:val="0"/>
                    <w:adjustRightInd w:val="0"/>
                    <w:jc w:val="center"/>
                    <w:rPr>
                      <w:rFonts w:hint="default" w:ascii="Times New Roman" w:hAnsi="Times New Roman" w:cs="Times New Roman"/>
                      <w:szCs w:val="21"/>
                      <w:highlight w:val="none"/>
                    </w:rPr>
                  </w:pPr>
                </w:p>
              </w:tc>
            </w:tr>
            <w:tr w14:paraId="62BA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5" w:type="pct"/>
                  <w:vAlign w:val="center"/>
                </w:tcPr>
                <w:p w14:paraId="7CF34A0A">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5</w:t>
                  </w:r>
                </w:p>
              </w:tc>
              <w:tc>
                <w:tcPr>
                  <w:tcW w:w="978" w:type="pct"/>
                  <w:vAlign w:val="center"/>
                </w:tcPr>
                <w:p w14:paraId="2C22B107">
                  <w:pPr>
                    <w:jc w:val="center"/>
                    <w:rPr>
                      <w:rFonts w:hint="default" w:ascii="Times New Roman" w:hAnsi="Times New Roman" w:cs="Times New Roman" w:eastAsiaTheme="minorEastAsia"/>
                      <w:szCs w:val="21"/>
                      <w:highlight w:val="none"/>
                      <w:lang w:eastAsia="zh-CN"/>
                    </w:rPr>
                  </w:pPr>
                  <w:r>
                    <w:rPr>
                      <w:rFonts w:hint="default" w:ascii="Times New Roman" w:hAnsi="Times New Roman" w:cs="Times New Roman"/>
                      <w:szCs w:val="21"/>
                      <w:highlight w:val="none"/>
                    </w:rPr>
                    <w:t>防爆事故排风机</w:t>
                  </w:r>
                </w:p>
              </w:tc>
              <w:tc>
                <w:tcPr>
                  <w:tcW w:w="893" w:type="pct"/>
                  <w:vAlign w:val="center"/>
                </w:tcPr>
                <w:p w14:paraId="3880703D">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1400CMH</w:t>
                  </w:r>
                </w:p>
              </w:tc>
              <w:tc>
                <w:tcPr>
                  <w:tcW w:w="760" w:type="pct"/>
                  <w:vAlign w:val="center"/>
                </w:tcPr>
                <w:p w14:paraId="621FF106">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1用1备</w:t>
                  </w:r>
                </w:p>
              </w:tc>
              <w:tc>
                <w:tcPr>
                  <w:tcW w:w="785" w:type="pct"/>
                  <w:shd w:val="clear" w:color="auto" w:fill="auto"/>
                  <w:vAlign w:val="center"/>
                </w:tcPr>
                <w:p w14:paraId="2EF5B7C5">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1400CMH</w:t>
                  </w:r>
                </w:p>
              </w:tc>
              <w:tc>
                <w:tcPr>
                  <w:tcW w:w="665" w:type="pct"/>
                  <w:shd w:val="clear" w:color="auto" w:fill="auto"/>
                  <w:vAlign w:val="center"/>
                </w:tcPr>
                <w:p w14:paraId="3CDB5218">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1用1备</w:t>
                  </w:r>
                </w:p>
              </w:tc>
              <w:tc>
                <w:tcPr>
                  <w:tcW w:w="590" w:type="pct"/>
                  <w:vMerge w:val="continue"/>
                  <w:vAlign w:val="center"/>
                </w:tcPr>
                <w:p w14:paraId="62CBCD05">
                  <w:pPr>
                    <w:autoSpaceDE w:val="0"/>
                    <w:autoSpaceDN w:val="0"/>
                    <w:adjustRightInd w:val="0"/>
                    <w:jc w:val="center"/>
                    <w:rPr>
                      <w:rFonts w:hint="default" w:ascii="Times New Roman" w:hAnsi="Times New Roman" w:cs="Times New Roman"/>
                      <w:szCs w:val="21"/>
                      <w:highlight w:val="none"/>
                    </w:rPr>
                  </w:pPr>
                </w:p>
              </w:tc>
            </w:tr>
            <w:tr w14:paraId="3BB5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5" w:type="pct"/>
                  <w:vAlign w:val="center"/>
                </w:tcPr>
                <w:p w14:paraId="2B896C90">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6</w:t>
                  </w:r>
                </w:p>
              </w:tc>
              <w:tc>
                <w:tcPr>
                  <w:tcW w:w="978" w:type="pct"/>
                  <w:vAlign w:val="center"/>
                </w:tcPr>
                <w:p w14:paraId="2424A396">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防爆事故排风机</w:t>
                  </w:r>
                </w:p>
              </w:tc>
              <w:tc>
                <w:tcPr>
                  <w:tcW w:w="893" w:type="pct"/>
                  <w:vAlign w:val="center"/>
                </w:tcPr>
                <w:p w14:paraId="2A7FC69D">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1200CMH</w:t>
                  </w:r>
                </w:p>
              </w:tc>
              <w:tc>
                <w:tcPr>
                  <w:tcW w:w="760" w:type="pct"/>
                  <w:vAlign w:val="center"/>
                </w:tcPr>
                <w:p w14:paraId="3D4CEDC9">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1用1备</w:t>
                  </w:r>
                </w:p>
              </w:tc>
              <w:tc>
                <w:tcPr>
                  <w:tcW w:w="785" w:type="pct"/>
                  <w:shd w:val="clear" w:color="auto" w:fill="auto"/>
                  <w:vAlign w:val="center"/>
                </w:tcPr>
                <w:p w14:paraId="7794B22E">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1200CMH</w:t>
                  </w:r>
                </w:p>
              </w:tc>
              <w:tc>
                <w:tcPr>
                  <w:tcW w:w="665" w:type="pct"/>
                  <w:shd w:val="clear" w:color="auto" w:fill="auto"/>
                  <w:vAlign w:val="center"/>
                </w:tcPr>
                <w:p w14:paraId="528B0CA6">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1用1备</w:t>
                  </w:r>
                </w:p>
              </w:tc>
              <w:tc>
                <w:tcPr>
                  <w:tcW w:w="590" w:type="pct"/>
                  <w:vMerge w:val="continue"/>
                  <w:vAlign w:val="center"/>
                </w:tcPr>
                <w:p w14:paraId="29DA6347">
                  <w:pPr>
                    <w:autoSpaceDE w:val="0"/>
                    <w:autoSpaceDN w:val="0"/>
                    <w:adjustRightInd w:val="0"/>
                    <w:jc w:val="center"/>
                    <w:rPr>
                      <w:rFonts w:hint="default" w:ascii="Times New Roman" w:hAnsi="Times New Roman" w:cs="Times New Roman"/>
                      <w:szCs w:val="21"/>
                      <w:highlight w:val="none"/>
                    </w:rPr>
                  </w:pPr>
                </w:p>
              </w:tc>
            </w:tr>
            <w:tr w14:paraId="381D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25" w:type="pct"/>
                  <w:vAlign w:val="center"/>
                </w:tcPr>
                <w:p w14:paraId="1FCFA19F">
                  <w:pPr>
                    <w:autoSpaceDE w:val="0"/>
                    <w:autoSpaceDN w:val="0"/>
                    <w:adjustRightInd w:val="0"/>
                    <w:rPr>
                      <w:rFonts w:hint="default" w:ascii="Times New Roman" w:hAnsi="Times New Roman" w:cs="Times New Roman"/>
                      <w:szCs w:val="21"/>
                      <w:highlight w:val="none"/>
                    </w:rPr>
                  </w:pPr>
                  <w:r>
                    <w:rPr>
                      <w:rFonts w:hint="default" w:ascii="Times New Roman" w:hAnsi="Times New Roman" w:cs="Times New Roman"/>
                      <w:szCs w:val="21"/>
                      <w:highlight w:val="none"/>
                    </w:rPr>
                    <w:t>7</w:t>
                  </w:r>
                </w:p>
              </w:tc>
              <w:tc>
                <w:tcPr>
                  <w:tcW w:w="978" w:type="pct"/>
                  <w:vAlign w:val="center"/>
                </w:tcPr>
                <w:p w14:paraId="235DBB37">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防爆电动叉车</w:t>
                  </w:r>
                </w:p>
              </w:tc>
              <w:tc>
                <w:tcPr>
                  <w:tcW w:w="893" w:type="pct"/>
                  <w:vAlign w:val="center"/>
                </w:tcPr>
                <w:p w14:paraId="02A3B4D7">
                  <w:pPr>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760" w:type="pct"/>
                  <w:vAlign w:val="center"/>
                </w:tcPr>
                <w:p w14:paraId="17D8FD17">
                  <w:pPr>
                    <w:adjustRightInd w:val="0"/>
                    <w:snapToGrid w:val="0"/>
                    <w:spacing w:line="360" w:lineRule="auto"/>
                    <w:jc w:val="center"/>
                    <w:rPr>
                      <w:rFonts w:hint="default" w:ascii="Times New Roman" w:hAnsi="Times New Roman" w:cs="Times New Roman"/>
                      <w:szCs w:val="21"/>
                      <w:highlight w:val="none"/>
                    </w:rPr>
                  </w:pPr>
                  <w:r>
                    <w:rPr>
                      <w:rFonts w:hint="default" w:ascii="Times New Roman" w:hAnsi="Times New Roman" w:cs="Times New Roman"/>
                      <w:bCs/>
                      <w:szCs w:val="21"/>
                      <w:highlight w:val="none"/>
                    </w:rPr>
                    <w:t>2</w:t>
                  </w:r>
                </w:p>
              </w:tc>
              <w:tc>
                <w:tcPr>
                  <w:tcW w:w="785" w:type="pct"/>
                  <w:shd w:val="clear" w:color="auto" w:fill="auto"/>
                  <w:vAlign w:val="center"/>
                </w:tcPr>
                <w:p w14:paraId="375FFEF1">
                  <w:pPr>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szCs w:val="21"/>
                      <w:highlight w:val="none"/>
                    </w:rPr>
                    <w:t>/</w:t>
                  </w:r>
                </w:p>
              </w:tc>
              <w:tc>
                <w:tcPr>
                  <w:tcW w:w="665" w:type="pct"/>
                  <w:shd w:val="clear" w:color="auto" w:fill="auto"/>
                  <w:vAlign w:val="center"/>
                </w:tcPr>
                <w:p w14:paraId="5CFE8E7F">
                  <w:pPr>
                    <w:adjustRightInd w:val="0"/>
                    <w:snapToGrid w:val="0"/>
                    <w:spacing w:line="360" w:lineRule="auto"/>
                    <w:jc w:val="center"/>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cs="Times New Roman"/>
                      <w:bCs/>
                      <w:szCs w:val="21"/>
                      <w:highlight w:val="none"/>
                    </w:rPr>
                    <w:t>2</w:t>
                  </w:r>
                </w:p>
              </w:tc>
              <w:tc>
                <w:tcPr>
                  <w:tcW w:w="590" w:type="pct"/>
                  <w:vMerge w:val="continue"/>
                  <w:vAlign w:val="center"/>
                </w:tcPr>
                <w:p w14:paraId="7AAC74E4">
                  <w:pPr>
                    <w:autoSpaceDE w:val="0"/>
                    <w:autoSpaceDN w:val="0"/>
                    <w:adjustRightInd w:val="0"/>
                    <w:jc w:val="center"/>
                    <w:rPr>
                      <w:rFonts w:hint="default" w:ascii="Times New Roman" w:hAnsi="Times New Roman" w:cs="Times New Roman"/>
                      <w:szCs w:val="21"/>
                      <w:highlight w:val="none"/>
                    </w:rPr>
                  </w:pPr>
                </w:p>
              </w:tc>
            </w:tr>
          </w:tbl>
          <w:p w14:paraId="2BF7C81A">
            <w:pPr>
              <w:spacing w:line="360" w:lineRule="auto"/>
              <w:ind w:firstLine="480" w:firstLineChars="200"/>
              <w:rPr>
                <w:rFonts w:ascii="Times New Roman" w:hAnsi="Times New Roman" w:cs="Times New Roman"/>
                <w:bCs/>
                <w:sz w:val="24"/>
                <w:szCs w:val="24"/>
                <w:highlight w:val="none"/>
              </w:rPr>
            </w:pPr>
            <w:r>
              <w:rPr>
                <w:rFonts w:ascii="Times New Roman" w:hAnsi="Times New Roman" w:cs="Times New Roman"/>
                <w:bCs/>
                <w:sz w:val="24"/>
                <w:szCs w:val="24"/>
                <w:highlight w:val="none"/>
              </w:rPr>
              <w:t>本项目</w:t>
            </w:r>
            <w:r>
              <w:rPr>
                <w:rFonts w:hint="eastAsia" w:ascii="Times New Roman" w:hAnsi="Times New Roman" w:cs="Times New Roman"/>
                <w:bCs/>
                <w:sz w:val="24"/>
                <w:szCs w:val="24"/>
                <w:highlight w:val="none"/>
              </w:rPr>
              <w:t>实际建设过程中，设备数量及种类与环评一致。</w:t>
            </w:r>
          </w:p>
          <w:bookmarkEnd w:id="13"/>
          <w:p w14:paraId="7DA9F4B6">
            <w:pPr>
              <w:spacing w:line="360" w:lineRule="auto"/>
              <w:ind w:firstLine="482" w:firstLineChars="200"/>
              <w:jc w:val="left"/>
              <w:rPr>
                <w:rFonts w:hint="eastAsia" w:ascii="Times New Roman" w:hAnsi="Times New Roman" w:cs="Times New Roman"/>
                <w:b/>
                <w:sz w:val="24"/>
                <w:szCs w:val="24"/>
                <w:highlight w:val="none"/>
                <w:lang w:val="en-US" w:eastAsia="zh-CN"/>
              </w:rPr>
            </w:pPr>
            <w:r>
              <w:rPr>
                <w:rFonts w:hint="eastAsia" w:ascii="Times New Roman" w:hAnsi="Times New Roman" w:cs="Times New Roman"/>
                <w:b/>
                <w:sz w:val="24"/>
                <w:szCs w:val="24"/>
                <w:highlight w:val="none"/>
                <w:lang w:val="en-US" w:eastAsia="zh-CN"/>
              </w:rPr>
              <w:t>水源及水平衡</w:t>
            </w:r>
          </w:p>
          <w:p w14:paraId="1CD8F8C8">
            <w:pPr>
              <w:autoSpaceDE w:val="0"/>
              <w:autoSpaceDN w:val="0"/>
              <w:adjustRightInd w:val="0"/>
              <w:spacing w:line="360" w:lineRule="auto"/>
              <w:ind w:firstLine="480" w:firstLineChars="200"/>
              <w:jc w:val="left"/>
              <w:rPr>
                <w:kern w:val="0"/>
                <w:sz w:val="24"/>
                <w:szCs w:val="20"/>
              </w:rPr>
            </w:pPr>
            <w:r>
              <w:rPr>
                <w:rFonts w:hint="eastAsia"/>
                <w:kern w:val="0"/>
                <w:sz w:val="24"/>
                <w:szCs w:val="20"/>
              </w:rPr>
              <w:t>本项目运营期不用水，其用水环节为职工日常生活。本项目劳动定员4</w:t>
            </w:r>
            <w:r>
              <w:rPr>
                <w:kern w:val="0"/>
                <w:sz w:val="24"/>
                <w:szCs w:val="20"/>
              </w:rPr>
              <w:t xml:space="preserve"> </w:t>
            </w:r>
            <w:r>
              <w:rPr>
                <w:rFonts w:hint="eastAsia"/>
                <w:kern w:val="0"/>
                <w:sz w:val="24"/>
                <w:szCs w:val="20"/>
              </w:rPr>
              <w:t>人，由原有员工调配，</w:t>
            </w:r>
            <w:r>
              <w:rPr>
                <w:rFonts w:hint="eastAsia"/>
                <w:kern w:val="0"/>
                <w:sz w:val="24"/>
                <w:szCs w:val="20"/>
                <w:lang w:val="en-US" w:eastAsia="zh-CN"/>
              </w:rPr>
              <w:t>不新增用水及排水，</w:t>
            </w:r>
            <w:r>
              <w:rPr>
                <w:rFonts w:hint="eastAsia"/>
                <w:kern w:val="0"/>
                <w:sz w:val="24"/>
                <w:szCs w:val="20"/>
              </w:rPr>
              <w:t>不改变现有工程的用水及排水量</w:t>
            </w:r>
            <w:r>
              <w:rPr>
                <w:rFonts w:hint="eastAsia"/>
                <w:kern w:val="0"/>
                <w:sz w:val="24"/>
                <w:szCs w:val="20"/>
                <w:lang w:eastAsia="zh-CN"/>
              </w:rPr>
              <w:t>，</w:t>
            </w:r>
            <w:r>
              <w:rPr>
                <w:rFonts w:hint="eastAsia"/>
                <w:kern w:val="0"/>
                <w:sz w:val="24"/>
                <w:szCs w:val="20"/>
                <w:lang w:val="en-US" w:eastAsia="zh-CN"/>
              </w:rPr>
              <w:t>与环评一致</w:t>
            </w:r>
            <w:r>
              <w:rPr>
                <w:rFonts w:hint="eastAsia"/>
                <w:kern w:val="0"/>
                <w:sz w:val="24"/>
                <w:szCs w:val="20"/>
              </w:rPr>
              <w:t>。</w:t>
            </w:r>
          </w:p>
          <w:p w14:paraId="0ED6984F">
            <w:pPr>
              <w:pStyle w:val="17"/>
              <w:widowControl/>
              <w:adjustRightInd w:val="0"/>
              <w:spacing w:line="360" w:lineRule="auto"/>
              <w:ind w:firstLine="480" w:firstLineChars="200"/>
              <w:rPr>
                <w:rFonts w:ascii="Times New Roman" w:hAnsi="Times New Roman" w:cs="Times New Roman"/>
                <w:szCs w:val="24"/>
                <w:highlight w:val="yellow"/>
              </w:rPr>
            </w:pPr>
          </w:p>
        </w:tc>
      </w:tr>
      <w:tr w14:paraId="22E5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6" w:hRule="atLeast"/>
          <w:jc w:val="center"/>
        </w:trPr>
        <w:tc>
          <w:tcPr>
            <w:tcW w:w="8787" w:type="dxa"/>
          </w:tcPr>
          <w:p w14:paraId="5CFA652E">
            <w:pPr>
              <w:spacing w:line="360" w:lineRule="auto"/>
              <w:jc w:val="left"/>
              <w:rPr>
                <w:rFonts w:ascii="Times New Roman" w:hAnsi="Times New Roman" w:cs="Times New Roman"/>
                <w:b/>
                <w:sz w:val="24"/>
                <w:szCs w:val="24"/>
                <w:highlight w:val="none"/>
              </w:rPr>
            </w:pPr>
            <w:r>
              <w:rPr>
                <w:rFonts w:ascii="Times New Roman" w:hAnsi="Times New Roman" w:cs="Times New Roman"/>
                <w:b/>
                <w:sz w:val="24"/>
                <w:szCs w:val="24"/>
                <w:highlight w:val="none"/>
              </w:rPr>
              <w:t>主要工艺流程及产污环节：</w:t>
            </w:r>
          </w:p>
          <w:p w14:paraId="4CB62189">
            <w:pPr>
              <w:spacing w:line="360" w:lineRule="auto"/>
              <w:jc w:val="center"/>
              <w:rPr>
                <w:b/>
                <w:sz w:val="24"/>
                <w:highlight w:val="yellow"/>
              </w:rPr>
            </w:pPr>
            <w:r>
              <w:object>
                <v:shape id="_x0000_i1025" o:spt="75" type="#_x0000_t75" style="height:161.65pt;width:408.25pt;" o:ole="t" filled="f" o:preferrelative="t" stroked="f" coordsize="21600,21600">
                  <v:path/>
                  <v:fill on="f" focussize="0,0"/>
                  <v:stroke on="f" joinstyle="miter"/>
                  <v:imagedata r:id="rId11" embosscolor="#FFFFFF" o:title=""/>
                  <o:lock v:ext="edit" aspectratio="t"/>
                  <w10:wrap type="none"/>
                  <w10:anchorlock/>
                </v:shape>
                <o:OLEObject Type="Embed" ProgID="Visio.Drawing.15" ShapeID="_x0000_i1025" DrawAspect="Content" ObjectID="_1468075725" r:id="rId10">
                  <o:LockedField>false</o:LockedField>
                </o:OLEObject>
              </w:object>
            </w:r>
          </w:p>
          <w:p w14:paraId="1B4F6416">
            <w:pPr>
              <w:spacing w:line="360" w:lineRule="auto"/>
              <w:ind w:firstLine="420" w:firstLineChars="200"/>
              <w:jc w:val="center"/>
              <w:rPr>
                <w:rFonts w:ascii="Times New Roman" w:hAnsi="Times New Roman" w:cs="Times New Roman"/>
                <w:highlight w:val="none"/>
              </w:rPr>
            </w:pPr>
            <w:r>
              <w:rPr>
                <w:rFonts w:ascii="Times New Roman" w:hAnsi="Times New Roman" w:cs="Times New Roman"/>
                <w:highlight w:val="none"/>
              </w:rPr>
              <w:t>图2-</w:t>
            </w:r>
            <w:r>
              <w:rPr>
                <w:rFonts w:hint="eastAsia" w:ascii="Times New Roman" w:hAnsi="Times New Roman" w:cs="Times New Roman"/>
                <w:highlight w:val="none"/>
                <w:lang w:val="en-US" w:eastAsia="zh-CN"/>
              </w:rPr>
              <w:t>1</w:t>
            </w:r>
            <w:r>
              <w:rPr>
                <w:rFonts w:ascii="Times New Roman" w:hAnsi="Times New Roman" w:cs="Times New Roman"/>
                <w:highlight w:val="none"/>
              </w:rPr>
              <w:t>本项目整体工艺流程图</w:t>
            </w:r>
          </w:p>
          <w:p w14:paraId="110A75DF">
            <w:pPr>
              <w:spacing w:line="360" w:lineRule="auto"/>
              <w:ind w:firstLine="482" w:firstLineChars="200"/>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工艺说明：</w:t>
            </w:r>
          </w:p>
          <w:p w14:paraId="5EB2A3EE">
            <w:pPr>
              <w:spacing w:line="360" w:lineRule="auto"/>
              <w:ind w:firstLine="480" w:firstLineChars="200"/>
              <w:rPr>
                <w:sz w:val="24"/>
              </w:rPr>
            </w:pPr>
            <w:r>
              <w:rPr>
                <w:rFonts w:hint="eastAsia"/>
                <w:sz w:val="24"/>
              </w:rPr>
              <w:t>本项目为化学品甲类库房，为诺和诺德公司三厂提供化学物料储存配套服务，物料从入库到出库整个环节都保持化学品的原始包装状态，储存过程没有打开包装验货和分装环节。厂区外货品运输由供应商负责，本项目不包含厂区外的运输。本项目物料进、出库流程如下：</w:t>
            </w:r>
          </w:p>
          <w:p w14:paraId="6CD78BAF">
            <w:pPr>
              <w:spacing w:line="360" w:lineRule="auto"/>
              <w:ind w:firstLine="480" w:firstLineChars="200"/>
              <w:rPr>
                <w:sz w:val="24"/>
              </w:rPr>
            </w:pPr>
            <w:r>
              <w:rPr>
                <w:rFonts w:hint="eastAsia"/>
                <w:sz w:val="24"/>
              </w:rPr>
              <w:t>物料供应商委托危险品专用运输车辆将货品运入厂区指定区域，并将入库计划告知仓库负责人员。仓库作业人员在验明证件、货单后对货品包装的完整性进行人工检查，查看固体和液体危险品包装是否完好，确认包装完好后准许入库。若发现包装变形但没有泄漏时，包装变形的货品运回供应商。</w:t>
            </w:r>
          </w:p>
          <w:p w14:paraId="3EBBE2F8">
            <w:pPr>
              <w:spacing w:line="360" w:lineRule="auto"/>
              <w:ind w:firstLine="480" w:firstLineChars="200"/>
              <w:rPr>
                <w:highlight w:val="yellow"/>
              </w:rPr>
            </w:pPr>
            <w:r>
              <w:rPr>
                <w:rFonts w:hint="eastAsia"/>
                <w:sz w:val="24"/>
              </w:rPr>
              <w:t>仓库作业人员采用防爆电动叉车按照货品危险性储存至相应类别的仓库内，采用电动叉车摆放至货架相应位置。货品入库后，仓库作业人员对入库货品的名称、入库时间、储存数量、储存位置进行登记。当生产车间需要使用物料进行提取时，仓库管理人员采用防爆电动叉车运出生产区。</w:t>
            </w:r>
          </w:p>
        </w:tc>
      </w:tr>
      <w:tr w14:paraId="5648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6" w:hRule="atLeast"/>
          <w:jc w:val="center"/>
        </w:trPr>
        <w:tc>
          <w:tcPr>
            <w:tcW w:w="8787" w:type="dxa"/>
          </w:tcPr>
          <w:p w14:paraId="5060C290">
            <w:pPr>
              <w:pStyle w:val="17"/>
              <w:spacing w:line="360" w:lineRule="auto"/>
              <w:rPr>
                <w:rFonts w:hint="default" w:ascii="Times New Roman" w:hAnsi="宋体" w:eastAsia="宋体" w:cs="Times New Roman"/>
                <w:b/>
                <w:bCs/>
                <w:szCs w:val="21"/>
                <w:highlight w:val="none"/>
                <w:lang w:val="en-US" w:eastAsia="zh-CN"/>
              </w:rPr>
            </w:pPr>
            <w:r>
              <w:rPr>
                <w:rFonts w:hint="eastAsia" w:ascii="Times New Roman" w:hAnsi="宋体" w:eastAsia="宋体" w:cs="Times New Roman"/>
                <w:b/>
                <w:bCs/>
                <w:szCs w:val="21"/>
                <w:highlight w:val="none"/>
                <w:lang w:val="en-US" w:eastAsia="zh-CN"/>
              </w:rPr>
              <w:t>项目变动情况</w:t>
            </w:r>
          </w:p>
          <w:p w14:paraId="02444981">
            <w:pPr>
              <w:pStyle w:val="17"/>
              <w:spacing w:line="360" w:lineRule="auto"/>
              <w:ind w:firstLine="480" w:firstLineChars="200"/>
              <w:rPr>
                <w:rFonts w:ascii="Times New Roman" w:hAnsi="宋体" w:eastAsia="宋体" w:cs="Times New Roman"/>
                <w:szCs w:val="21"/>
                <w:highlight w:val="none"/>
              </w:rPr>
            </w:pPr>
            <w:r>
              <w:rPr>
                <w:rFonts w:hint="eastAsia" w:ascii="Times New Roman" w:hAnsi="宋体" w:eastAsia="宋体" w:cs="Times New Roman"/>
                <w:szCs w:val="21"/>
                <w:highlight w:val="none"/>
              </w:rPr>
              <w:t>本项目在实际建设过程中，建设位置、建设内容、原辅材料、</w:t>
            </w:r>
            <w:r>
              <w:rPr>
                <w:rFonts w:hint="eastAsia" w:ascii="Times New Roman" w:hAnsi="宋体" w:eastAsia="宋体" w:cs="Times New Roman"/>
                <w:szCs w:val="21"/>
                <w:highlight w:val="none"/>
                <w:lang w:val="en-US" w:eastAsia="zh-CN"/>
              </w:rPr>
              <w:t>储存</w:t>
            </w:r>
            <w:r>
              <w:rPr>
                <w:rFonts w:hint="eastAsia" w:ascii="Times New Roman" w:hAnsi="宋体" w:eastAsia="宋体" w:cs="Times New Roman"/>
                <w:szCs w:val="21"/>
                <w:highlight w:val="none"/>
              </w:rPr>
              <w:t>方案、生产设备、</w:t>
            </w:r>
            <w:r>
              <w:rPr>
                <w:rFonts w:hint="eastAsia" w:ascii="Times New Roman" w:hAnsi="宋体" w:eastAsia="宋体" w:cs="Times New Roman"/>
                <w:szCs w:val="21"/>
                <w:highlight w:val="none"/>
                <w:lang w:val="en-US" w:eastAsia="zh-CN"/>
              </w:rPr>
              <w:t>储存</w:t>
            </w:r>
            <w:r>
              <w:rPr>
                <w:rFonts w:hint="eastAsia" w:ascii="Times New Roman" w:hAnsi="宋体" w:eastAsia="宋体" w:cs="Times New Roman"/>
                <w:szCs w:val="21"/>
                <w:highlight w:val="none"/>
              </w:rPr>
              <w:t>工艺等均未发生变化。</w:t>
            </w:r>
            <w:r>
              <w:rPr>
                <w:rFonts w:hint="eastAsia" w:cs="宋体"/>
                <w:bCs/>
                <w:highlight w:val="none"/>
              </w:rPr>
              <w:t>本项目</w:t>
            </w:r>
            <w:r>
              <w:rPr>
                <w:rFonts w:hint="eastAsia" w:ascii="Times New Roman" w:hAnsi="Times New Roman" w:cs="Times New Roman"/>
                <w:bCs/>
                <w:szCs w:val="24"/>
                <w:highlight w:val="none"/>
              </w:rPr>
              <w:t>实际建设与</w:t>
            </w:r>
            <w:r>
              <w:rPr>
                <w:rFonts w:hint="eastAsia" w:cs="宋体"/>
                <w:bCs/>
                <w:highlight w:val="none"/>
              </w:rPr>
              <w:t>中华人民共和国生态环境部办公</w:t>
            </w:r>
            <w:r>
              <w:rPr>
                <w:rFonts w:ascii="Times New Roman" w:hAnsi="Times New Roman" w:cs="Times New Roman"/>
                <w:bCs/>
                <w:highlight w:val="none"/>
              </w:rPr>
              <w:t>厅关于印发《污染影响类建设项目重大变动清单（试行）》的通知（环办环评函[2020]688号）</w:t>
            </w:r>
            <w:r>
              <w:rPr>
                <w:rFonts w:hint="eastAsia" w:ascii="Times New Roman" w:hAnsi="Times New Roman" w:cs="Times New Roman"/>
                <w:bCs/>
                <w:szCs w:val="24"/>
                <w:highlight w:val="none"/>
              </w:rPr>
              <w:t>对比情况如下。</w:t>
            </w:r>
          </w:p>
          <w:p w14:paraId="33FE7364">
            <w:pPr>
              <w:pStyle w:val="17"/>
              <w:spacing w:line="360" w:lineRule="auto"/>
              <w:ind w:firstLine="480" w:firstLineChars="200"/>
              <w:jc w:val="center"/>
              <w:rPr>
                <w:rFonts w:ascii="Times New Roman" w:hAnsi="Times New Roman" w:cs="Times New Roman"/>
                <w:bCs/>
                <w:szCs w:val="24"/>
                <w:highlight w:val="none"/>
              </w:rPr>
            </w:pPr>
            <w:r>
              <w:rPr>
                <w:rFonts w:hint="eastAsia" w:ascii="Times New Roman" w:hAnsi="Times New Roman" w:cs="Times New Roman"/>
                <w:bCs/>
                <w:szCs w:val="24"/>
                <w:highlight w:val="none"/>
              </w:rPr>
              <w:t>表2-</w:t>
            </w:r>
            <w:r>
              <w:rPr>
                <w:rFonts w:hint="eastAsia" w:ascii="Times New Roman" w:hAnsi="Times New Roman" w:cs="Times New Roman"/>
                <w:bCs/>
                <w:szCs w:val="24"/>
                <w:highlight w:val="none"/>
                <w:lang w:val="en-US" w:eastAsia="zh-CN"/>
              </w:rPr>
              <w:t>4</w:t>
            </w:r>
            <w:r>
              <w:rPr>
                <w:rFonts w:ascii="Times New Roman" w:hAnsi="Times New Roman" w:cs="Times New Roman"/>
                <w:bCs/>
                <w:szCs w:val="24"/>
                <w:highlight w:val="none"/>
              </w:rPr>
              <w:t xml:space="preserve"> </w:t>
            </w:r>
            <w:r>
              <w:rPr>
                <w:rFonts w:hint="eastAsia" w:ascii="Times New Roman" w:hAnsi="Times New Roman" w:cs="Times New Roman"/>
                <w:bCs/>
                <w:szCs w:val="24"/>
                <w:highlight w:val="none"/>
              </w:rPr>
              <w:t>建设项目与重大变动清单对比表</w:t>
            </w:r>
          </w:p>
          <w:tbl>
            <w:tblPr>
              <w:tblStyle w:val="62"/>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2152"/>
              <w:gridCol w:w="2023"/>
              <w:gridCol w:w="2164"/>
              <w:gridCol w:w="1125"/>
              <w:gridCol w:w="657"/>
            </w:tblGrid>
            <w:tr w14:paraId="3355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556" w:type="dxa"/>
                  <w:tcBorders>
                    <w:top w:val="single" w:color="auto" w:sz="4" w:space="0"/>
                    <w:left w:val="single" w:color="auto" w:sz="4" w:space="0"/>
                    <w:bottom w:val="single" w:color="auto" w:sz="4" w:space="0"/>
                    <w:right w:val="single" w:color="auto" w:sz="4" w:space="0"/>
                  </w:tcBorders>
                  <w:shd w:val="clear" w:color="auto" w:fill="auto"/>
                  <w:vAlign w:val="center"/>
                </w:tcPr>
                <w:p w14:paraId="2A879934">
                  <w:pPr>
                    <w:snapToGrid w:val="0"/>
                    <w:jc w:val="center"/>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项目组成</w:t>
                  </w: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165458E4">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《污染影响类建设项目重大变动清单（试行）》的通知（环办环评函[2020]688号）</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381F64FF">
                  <w:pPr>
                    <w:snapToGrid w:val="0"/>
                    <w:jc w:val="center"/>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环评阶段拟建内容</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7C61437F">
                  <w:pPr>
                    <w:snapToGrid w:val="0"/>
                    <w:jc w:val="center"/>
                    <w:rPr>
                      <w:rFonts w:hint="eastAsia" w:ascii="Times New Roman" w:hAnsi="Times New Roman" w:eastAsia="宋体" w:cs="Times New Roman"/>
                      <w:kern w:val="0"/>
                      <w:sz w:val="21"/>
                      <w:szCs w:val="21"/>
                      <w:highlight w:val="none"/>
                      <w:lang w:eastAsia="zh-CN"/>
                    </w:rPr>
                  </w:pPr>
                  <w:r>
                    <w:rPr>
                      <w:rFonts w:ascii="Times New Roman" w:hAnsi="Times New Roman" w:eastAsia="宋体" w:cs="Times New Roman"/>
                      <w:kern w:val="0"/>
                      <w:sz w:val="21"/>
                      <w:szCs w:val="21"/>
                      <w:highlight w:val="none"/>
                    </w:rPr>
                    <w:t>本项目实际建</w:t>
                  </w:r>
                  <w:r>
                    <w:rPr>
                      <w:rFonts w:hint="eastAsia" w:ascii="Times New Roman" w:hAnsi="Times New Roman" w:eastAsia="宋体" w:cs="Times New Roman"/>
                      <w:kern w:val="0"/>
                      <w:sz w:val="21"/>
                      <w:szCs w:val="21"/>
                      <w:highlight w:val="none"/>
                      <w:lang w:val="en-US" w:eastAsia="zh-CN"/>
                    </w:rPr>
                    <w:t>内容</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598B9737">
                  <w:pPr>
                    <w:snapToGrid w:val="0"/>
                    <w:jc w:val="center"/>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变动情况及原因</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0A4180D4">
                  <w:pPr>
                    <w:snapToGrid w:val="0"/>
                    <w:jc w:val="center"/>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是否属于重大变动</w:t>
                  </w:r>
                </w:p>
              </w:tc>
            </w:tr>
            <w:tr w14:paraId="2F79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556" w:type="dxa"/>
                  <w:tcBorders>
                    <w:top w:val="single" w:color="auto" w:sz="4" w:space="0"/>
                    <w:left w:val="single" w:color="auto" w:sz="4" w:space="0"/>
                    <w:bottom w:val="single" w:color="auto" w:sz="4" w:space="0"/>
                    <w:right w:val="single" w:color="auto" w:sz="4" w:space="0"/>
                  </w:tcBorders>
                  <w:shd w:val="clear" w:color="auto" w:fill="auto"/>
                  <w:vAlign w:val="center"/>
                </w:tcPr>
                <w:p w14:paraId="78334D65">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性质</w:t>
                  </w: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7C0768BE">
                  <w:pPr>
                    <w:snapToGrid w:val="0"/>
                    <w:spacing w:line="276" w:lineRule="auto"/>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建设项目开发、使用功能发生变化的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7633210A">
                  <w:pPr>
                    <w:pStyle w:val="41"/>
                    <w:spacing w:line="276" w:lineRule="auto"/>
                    <w:jc w:val="both"/>
                    <w:rPr>
                      <w:rFonts w:hint="eastAsia" w:ascii="Times New Roman" w:hAnsi="Times New Roman" w:eastAsia="宋体" w:cs="Times New Roman"/>
                      <w:sz w:val="21"/>
                      <w:szCs w:val="21"/>
                      <w:highlight w:val="yellow"/>
                      <w:lang w:eastAsia="zh-CN"/>
                    </w:rPr>
                  </w:pPr>
                  <w:r>
                    <w:rPr>
                      <w:rFonts w:hint="eastAsia"/>
                      <w:sz w:val="21"/>
                      <w:szCs w:val="21"/>
                    </w:rPr>
                    <w:t>本项目新建甲类化学品库</w:t>
                  </w:r>
                  <w:r>
                    <w:rPr>
                      <w:rFonts w:hint="eastAsia" w:eastAsia="宋体"/>
                      <w:sz w:val="21"/>
                      <w:szCs w:val="21"/>
                      <w:lang w:eastAsia="zh-CN"/>
                    </w:rPr>
                    <w:t>。</w:t>
                  </w:r>
                  <w:r>
                    <w:rPr>
                      <w:sz w:val="21"/>
                      <w:szCs w:val="21"/>
                    </w:rPr>
                    <w:t>库区分为</w:t>
                  </w:r>
                  <w:r>
                    <w:rPr>
                      <w:rFonts w:hint="eastAsia"/>
                      <w:sz w:val="21"/>
                      <w:szCs w:val="21"/>
                    </w:rPr>
                    <w:t>四</w:t>
                  </w:r>
                  <w:r>
                    <w:rPr>
                      <w:sz w:val="21"/>
                      <w:szCs w:val="21"/>
                    </w:rPr>
                    <w:t>个隔间</w:t>
                  </w:r>
                  <w:r>
                    <w:rPr>
                      <w:rFonts w:hint="eastAsia"/>
                      <w:sz w:val="21"/>
                      <w:szCs w:val="21"/>
                    </w:rPr>
                    <w:t>，</w:t>
                  </w:r>
                  <w:r>
                    <w:rPr>
                      <w:sz w:val="21"/>
                      <w:szCs w:val="21"/>
                    </w:rPr>
                    <w:t>分别为甲类库</w:t>
                  </w:r>
                  <w:r>
                    <w:rPr>
                      <w:rFonts w:hint="eastAsia"/>
                      <w:sz w:val="21"/>
                      <w:szCs w:val="21"/>
                    </w:rPr>
                    <w:t>，易制爆化学品间</w:t>
                  </w:r>
                  <w:r>
                    <w:rPr>
                      <w:sz w:val="21"/>
                      <w:szCs w:val="21"/>
                    </w:rPr>
                    <w:t>，药剂间，危废暂存间</w:t>
                  </w:r>
                  <w:r>
                    <w:rPr>
                      <w:rFonts w:hint="eastAsia" w:eastAsia="宋体"/>
                      <w:sz w:val="21"/>
                      <w:szCs w:val="21"/>
                      <w:lang w:eastAsia="zh-CN"/>
                    </w:rPr>
                    <w:t>。</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03C5D6B9">
                  <w:pPr>
                    <w:pStyle w:val="41"/>
                    <w:spacing w:line="276" w:lineRule="auto"/>
                    <w:jc w:val="left"/>
                    <w:rPr>
                      <w:rFonts w:ascii="Times New Roman" w:hAnsi="Times New Roman" w:cs="Times New Roman" w:eastAsiaTheme="minorEastAsia"/>
                      <w:sz w:val="21"/>
                      <w:szCs w:val="21"/>
                      <w:highlight w:val="yellow"/>
                      <w:lang w:val="zh-CN"/>
                    </w:rPr>
                  </w:pPr>
                  <w:r>
                    <w:rPr>
                      <w:rFonts w:hint="eastAsia"/>
                      <w:sz w:val="21"/>
                      <w:szCs w:val="21"/>
                    </w:rPr>
                    <w:t>本项目新建甲类化学品库</w:t>
                  </w:r>
                  <w:r>
                    <w:rPr>
                      <w:rFonts w:hint="eastAsia" w:eastAsia="宋体"/>
                      <w:sz w:val="21"/>
                      <w:szCs w:val="21"/>
                      <w:lang w:eastAsia="zh-CN"/>
                    </w:rPr>
                    <w:t>。</w:t>
                  </w:r>
                  <w:r>
                    <w:rPr>
                      <w:sz w:val="21"/>
                      <w:szCs w:val="21"/>
                    </w:rPr>
                    <w:t>库区分为</w:t>
                  </w:r>
                  <w:r>
                    <w:rPr>
                      <w:rFonts w:hint="eastAsia"/>
                      <w:sz w:val="21"/>
                      <w:szCs w:val="21"/>
                    </w:rPr>
                    <w:t>四</w:t>
                  </w:r>
                  <w:r>
                    <w:rPr>
                      <w:sz w:val="21"/>
                      <w:szCs w:val="21"/>
                    </w:rPr>
                    <w:t>个隔间</w:t>
                  </w:r>
                  <w:r>
                    <w:rPr>
                      <w:rFonts w:hint="eastAsia"/>
                      <w:sz w:val="21"/>
                      <w:szCs w:val="21"/>
                    </w:rPr>
                    <w:t>，</w:t>
                  </w:r>
                  <w:r>
                    <w:rPr>
                      <w:sz w:val="21"/>
                      <w:szCs w:val="21"/>
                    </w:rPr>
                    <w:t>分别为甲类库</w:t>
                  </w:r>
                  <w:r>
                    <w:rPr>
                      <w:rFonts w:hint="eastAsia"/>
                      <w:sz w:val="21"/>
                      <w:szCs w:val="21"/>
                    </w:rPr>
                    <w:t>，易制爆化学品间</w:t>
                  </w:r>
                  <w:r>
                    <w:rPr>
                      <w:sz w:val="21"/>
                      <w:szCs w:val="21"/>
                    </w:rPr>
                    <w:t>，药剂间，危废暂存间</w:t>
                  </w:r>
                  <w:r>
                    <w:rPr>
                      <w:rFonts w:hint="eastAsia" w:eastAsia="宋体"/>
                      <w:sz w:val="21"/>
                      <w:szCs w:val="21"/>
                      <w:lang w:eastAsia="zh-CN"/>
                    </w:rPr>
                    <w:t>。</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6FA6BCBE">
                  <w:pPr>
                    <w:snapToGrid w:val="0"/>
                    <w:jc w:val="center"/>
                    <w:rPr>
                      <w:rFonts w:hint="default" w:ascii="Times New Roman" w:hAnsi="Times New Roman" w:eastAsia="宋体" w:cs="Times New Roman"/>
                      <w:kern w:val="0"/>
                      <w:sz w:val="21"/>
                      <w:szCs w:val="21"/>
                      <w:highlight w:val="none"/>
                      <w:lang w:val="en-US" w:eastAsia="zh-CN"/>
                    </w:rPr>
                  </w:pPr>
                  <w:r>
                    <w:rPr>
                      <w:rFonts w:ascii="Times New Roman" w:hAnsi="Times New Roman" w:eastAsia="宋体" w:cs="Times New Roman"/>
                      <w:kern w:val="0"/>
                      <w:sz w:val="21"/>
                      <w:szCs w:val="21"/>
                      <w:highlight w:val="none"/>
                    </w:rPr>
                    <w:t>建设项目开发、使用功能</w:t>
                  </w:r>
                  <w:r>
                    <w:rPr>
                      <w:rFonts w:hint="eastAsia" w:ascii="Times New Roman" w:hAnsi="Times New Roman" w:eastAsia="宋体" w:cs="Times New Roman"/>
                      <w:kern w:val="0"/>
                      <w:sz w:val="21"/>
                      <w:szCs w:val="21"/>
                      <w:highlight w:val="none"/>
                      <w:lang w:val="en-US" w:eastAsia="zh-CN"/>
                    </w:rPr>
                    <w:t>未发生变化</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0DE12F7D">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4C95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0" w:hRule="atLeast"/>
                <w:jc w:val="center"/>
              </w:trPr>
              <w:tc>
                <w:tcPr>
                  <w:tcW w:w="556" w:type="dxa"/>
                  <w:tcBorders>
                    <w:top w:val="single" w:color="auto" w:sz="4" w:space="0"/>
                    <w:left w:val="single" w:color="auto" w:sz="4" w:space="0"/>
                    <w:bottom w:val="single" w:color="auto" w:sz="4" w:space="0"/>
                    <w:right w:val="single" w:color="auto" w:sz="4" w:space="0"/>
                  </w:tcBorders>
                  <w:shd w:val="clear" w:color="auto" w:fill="auto"/>
                  <w:vAlign w:val="center"/>
                </w:tcPr>
                <w:p w14:paraId="6381C82E">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规模</w:t>
                  </w: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0C9EAD18">
                  <w:pPr>
                    <w:widowControl/>
                    <w:spacing w:line="276" w:lineRule="auto"/>
                    <w:jc w:val="both"/>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①</w:t>
                  </w:r>
                  <w:r>
                    <w:rPr>
                      <w:rFonts w:ascii="Times New Roman" w:hAnsi="Times New Roman" w:eastAsia="宋体" w:cs="Times New Roman"/>
                      <w:kern w:val="0"/>
                      <w:sz w:val="21"/>
                      <w:szCs w:val="21"/>
                      <w:highlight w:val="none"/>
                    </w:rPr>
                    <w:t>生产、处置或储存能力增大30%及以上的。</w:t>
                  </w:r>
                </w:p>
                <w:p w14:paraId="03BF5A5A">
                  <w:pPr>
                    <w:widowControl/>
                    <w:spacing w:line="276" w:lineRule="auto"/>
                    <w:jc w:val="both"/>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②</w:t>
                  </w:r>
                  <w:r>
                    <w:rPr>
                      <w:rFonts w:ascii="Times New Roman" w:hAnsi="Times New Roman" w:eastAsia="宋体" w:cs="Times New Roman"/>
                      <w:kern w:val="0"/>
                      <w:sz w:val="21"/>
                      <w:szCs w:val="21"/>
                      <w:highlight w:val="none"/>
                    </w:rPr>
                    <w:t>生产、处置或储存能力增大，导致废水第一类污染物排放量增加的。</w:t>
                  </w:r>
                </w:p>
                <w:p w14:paraId="2D3E611B">
                  <w:pPr>
                    <w:snapToGrid w:val="0"/>
                    <w:spacing w:line="276" w:lineRule="auto"/>
                    <w:jc w:val="both"/>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③</w:t>
                  </w:r>
                  <w:r>
                    <w:rPr>
                      <w:rFonts w:ascii="Times New Roman" w:hAnsi="Times New Roman" w:eastAsia="宋体" w:cs="Times New Roman"/>
                      <w:kern w:val="0"/>
                      <w:sz w:val="21"/>
                      <w:szCs w:val="21"/>
                      <w:highlight w:val="none"/>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5E8C4D0C">
                  <w:pPr>
                    <w:snapToGrid w:val="0"/>
                    <w:spacing w:line="276" w:lineRule="auto"/>
                    <w:jc w:val="left"/>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本</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项目无新增储存设施、无新增设备，建设化学品库</w:t>
                  </w:r>
                  <w:r>
                    <w:rPr>
                      <w:rFonts w:hint="eastAsia" w:ascii="Times New Roman" w:hAnsi="Times New Roman" w:eastAsia="宋体" w:cs="Times New Roman"/>
                      <w:color w:val="000000" w:themeColor="text1"/>
                      <w:sz w:val="21"/>
                      <w:szCs w:val="21"/>
                      <w:highlight w:val="none"/>
                      <w14:textFill>
                        <w14:solidFill>
                          <w14:schemeClr w14:val="tx1"/>
                        </w14:solidFill>
                      </w14:textFill>
                    </w:rPr>
                    <w:t>建筑面积299.04m</w:t>
                  </w:r>
                  <w:r>
                    <w:rPr>
                      <w:rFonts w:hint="eastAsia" w:ascii="Times New Roman" w:hAnsi="Times New Roman" w:eastAsia="宋体" w:cs="Times New Roman"/>
                      <w:color w:val="000000" w:themeColor="text1"/>
                      <w:sz w:val="21"/>
                      <w:szCs w:val="21"/>
                      <w:highlight w:val="none"/>
                      <w:vertAlign w:val="superscript"/>
                      <w14:textFill>
                        <w14:solidFill>
                          <w14:schemeClr w14:val="tx1"/>
                        </w14:solidFill>
                      </w14:textFill>
                    </w:rPr>
                    <w:t>2</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35CEB0C5">
                  <w:pPr>
                    <w:snapToGrid w:val="0"/>
                    <w:spacing w:line="276" w:lineRule="auto"/>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lang w:val="en-US" w:eastAsia="zh-CN"/>
                    </w:rPr>
                    <w:t>本</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项目无新增储存设施、无新增设备，建设化学品库</w:t>
                  </w:r>
                  <w:r>
                    <w:rPr>
                      <w:rFonts w:hint="eastAsia" w:ascii="Times New Roman" w:hAnsi="Times New Roman" w:eastAsia="宋体" w:cs="Times New Roman"/>
                      <w:color w:val="000000" w:themeColor="text1"/>
                      <w:sz w:val="21"/>
                      <w:szCs w:val="21"/>
                      <w:highlight w:val="none"/>
                      <w14:textFill>
                        <w14:solidFill>
                          <w14:schemeClr w14:val="tx1"/>
                        </w14:solidFill>
                      </w14:textFill>
                    </w:rPr>
                    <w:t>建筑面积299.04m</w:t>
                  </w:r>
                  <w:r>
                    <w:rPr>
                      <w:rFonts w:hint="eastAsia" w:ascii="Times New Roman" w:hAnsi="Times New Roman" w:eastAsia="宋体" w:cs="Times New Roman"/>
                      <w:color w:val="000000" w:themeColor="text1"/>
                      <w:sz w:val="21"/>
                      <w:szCs w:val="21"/>
                      <w:highlight w:val="none"/>
                      <w:vertAlign w:val="superscript"/>
                      <w14:textFill>
                        <w14:solidFill>
                          <w14:schemeClr w14:val="tx1"/>
                        </w14:solidFill>
                      </w14:textFill>
                    </w:rPr>
                    <w:t>2</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3DDFB8C4">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本项目生产、处置或</w:t>
                  </w:r>
                  <w:r>
                    <w:rPr>
                      <w:rFonts w:hint="eastAsia" w:ascii="Times New Roman" w:hAnsi="Times New Roman" w:eastAsia="宋体" w:cs="Times New Roman"/>
                      <w:kern w:val="0"/>
                      <w:sz w:val="21"/>
                      <w:szCs w:val="21"/>
                      <w:highlight w:val="none"/>
                      <w:lang w:val="en-US" w:eastAsia="zh-CN"/>
                    </w:rPr>
                    <w:t>能力</w:t>
                  </w:r>
                  <w:r>
                    <w:rPr>
                      <w:rFonts w:ascii="Times New Roman" w:hAnsi="Times New Roman" w:eastAsia="宋体" w:cs="Times New Roman"/>
                      <w:kern w:val="0"/>
                      <w:sz w:val="21"/>
                      <w:szCs w:val="21"/>
                      <w:highlight w:val="none"/>
                    </w:rPr>
                    <w:t>较环评无变化</w:t>
                  </w:r>
                  <w:r>
                    <w:rPr>
                      <w:rFonts w:hint="eastAsia" w:ascii="Times New Roman" w:hAnsi="Times New Roman" w:eastAsia="宋体" w:cs="Times New Roman"/>
                      <w:kern w:val="0"/>
                      <w:sz w:val="21"/>
                      <w:szCs w:val="21"/>
                      <w:highlight w:val="none"/>
                      <w:lang w:eastAsia="zh-CN"/>
                    </w:rPr>
                    <w:t>，</w:t>
                  </w:r>
                  <w:r>
                    <w:rPr>
                      <w:rFonts w:hint="eastAsia" w:ascii="Times New Roman" w:hAnsi="Times New Roman" w:eastAsia="宋体" w:cs="Times New Roman"/>
                      <w:kern w:val="0"/>
                      <w:sz w:val="21"/>
                      <w:szCs w:val="21"/>
                      <w:highlight w:val="none"/>
                      <w:lang w:val="en-US" w:eastAsia="zh-CN"/>
                    </w:rPr>
                    <w:t>最大暂存量较环评增加26.32%</w:t>
                  </w:r>
                  <w:r>
                    <w:rPr>
                      <w:rFonts w:ascii="Times New Roman" w:hAnsi="Times New Roman" w:eastAsia="宋体" w:cs="Times New Roman"/>
                      <w:kern w:val="0"/>
                      <w:sz w:val="21"/>
                      <w:szCs w:val="21"/>
                      <w:highlight w:val="none"/>
                    </w:rPr>
                    <w:t>。</w:t>
                  </w:r>
                  <w:r>
                    <w:rPr>
                      <w:rFonts w:hint="eastAsia" w:ascii="Times New Roman" w:hAnsi="Times New Roman" w:eastAsia="宋体" w:cs="Times New Roman"/>
                      <w:kern w:val="0"/>
                      <w:sz w:val="21"/>
                      <w:szCs w:val="21"/>
                      <w:highlight w:val="none"/>
                    </w:rPr>
                    <w:t>无</w:t>
                  </w:r>
                  <w:r>
                    <w:rPr>
                      <w:rFonts w:ascii="Times New Roman" w:hAnsi="Times New Roman" w:eastAsia="宋体" w:cs="Times New Roman"/>
                      <w:kern w:val="0"/>
                      <w:sz w:val="21"/>
                      <w:szCs w:val="21"/>
                      <w:highlight w:val="none"/>
                    </w:rPr>
                    <w:t>新增污染物排放</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7ADA7AF9">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5421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556" w:type="dxa"/>
                  <w:tcBorders>
                    <w:top w:val="single" w:color="auto" w:sz="4" w:space="0"/>
                    <w:left w:val="single" w:color="auto" w:sz="4" w:space="0"/>
                    <w:bottom w:val="single" w:color="auto" w:sz="4" w:space="0"/>
                    <w:right w:val="single" w:color="auto" w:sz="4" w:space="0"/>
                  </w:tcBorders>
                  <w:shd w:val="clear" w:color="auto" w:fill="auto"/>
                  <w:vAlign w:val="center"/>
                </w:tcPr>
                <w:p w14:paraId="5FEF4594">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建设地点</w:t>
                  </w: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7403245F">
                  <w:pPr>
                    <w:snapToGrid w:val="0"/>
                    <w:spacing w:line="276" w:lineRule="auto"/>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重新选址；在原厂址附近调整（包括总平面布置变化）导致环境防护距离范围变化且新增敏感点的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653C134F">
                  <w:pPr>
                    <w:snapToGrid w:val="0"/>
                    <w:spacing w:line="276" w:lineRule="auto"/>
                    <w:jc w:val="left"/>
                    <w:rPr>
                      <w:rFonts w:hint="default" w:ascii="Times New Roman" w:hAnsi="Times New Roman" w:eastAsia="宋体" w:cs="Times New Roman"/>
                      <w:kern w:val="0"/>
                      <w:sz w:val="21"/>
                      <w:szCs w:val="21"/>
                      <w:highlight w:val="none"/>
                      <w:lang w:val="en-US" w:eastAsia="zh-CN"/>
                    </w:rPr>
                  </w:pPr>
                  <w:r>
                    <w:rPr>
                      <w:rFonts w:ascii="Times New Roman" w:hAnsi="Times New Roman" w:eastAsia="宋体" w:cs="Times New Roman"/>
                      <w:kern w:val="0"/>
                      <w:sz w:val="21"/>
                      <w:szCs w:val="21"/>
                      <w:highlight w:val="none"/>
                    </w:rPr>
                    <w:t>本项目</w:t>
                  </w:r>
                  <w:r>
                    <w:rPr>
                      <w:rFonts w:hint="eastAsia" w:ascii="Times New Roman" w:hAnsi="Times New Roman" w:eastAsia="宋体" w:cs="Times New Roman"/>
                      <w:kern w:val="0"/>
                      <w:sz w:val="21"/>
                      <w:szCs w:val="21"/>
                      <w:highlight w:val="none"/>
                      <w:lang w:val="en-US" w:eastAsia="zh-CN"/>
                    </w:rPr>
                    <w:t>位于</w:t>
                  </w:r>
                  <w:bookmarkStart w:id="14" w:name="OLE_LINK10"/>
                  <w:bookmarkStart w:id="15" w:name="OLE_LINK34"/>
                  <w:r>
                    <w:rPr>
                      <w:rFonts w:ascii="Times New Roman" w:hAnsi="Times New Roman" w:eastAsia="宋体" w:cs="Times New Roman"/>
                      <w:kern w:val="0"/>
                      <w:sz w:val="21"/>
                      <w:szCs w:val="21"/>
                      <w:highlight w:val="none"/>
                    </w:rPr>
                    <w:t>天津经济技术开发区</w:t>
                  </w:r>
                  <w:r>
                    <w:rPr>
                      <w:rFonts w:hint="eastAsia" w:ascii="Times New Roman" w:hAnsi="Times New Roman" w:eastAsia="宋体" w:cs="Times New Roman"/>
                      <w:kern w:val="0"/>
                      <w:sz w:val="21"/>
                      <w:szCs w:val="21"/>
                      <w:highlight w:val="none"/>
                    </w:rPr>
                    <w:t>东区</w:t>
                  </w:r>
                  <w:r>
                    <w:rPr>
                      <w:rFonts w:ascii="Times New Roman" w:hAnsi="Times New Roman" w:eastAsia="宋体" w:cs="Times New Roman"/>
                      <w:kern w:val="0"/>
                      <w:sz w:val="21"/>
                      <w:szCs w:val="21"/>
                      <w:highlight w:val="none"/>
                    </w:rPr>
                    <w:t>相安路</w:t>
                  </w:r>
                  <w:r>
                    <w:rPr>
                      <w:rFonts w:hint="eastAsia" w:ascii="Times New Roman" w:hAnsi="Times New Roman" w:eastAsia="宋体" w:cs="Times New Roman"/>
                      <w:kern w:val="0"/>
                      <w:sz w:val="21"/>
                      <w:szCs w:val="21"/>
                      <w:highlight w:val="none"/>
                    </w:rPr>
                    <w:t>31号</w:t>
                  </w:r>
                  <w:bookmarkEnd w:id="14"/>
                  <w:bookmarkEnd w:id="15"/>
                  <w:r>
                    <w:rPr>
                      <w:rFonts w:hint="eastAsia" w:ascii="Times New Roman" w:hAnsi="Times New Roman" w:eastAsia="宋体" w:cs="Times New Roman"/>
                      <w:kern w:val="0"/>
                      <w:sz w:val="21"/>
                      <w:szCs w:val="21"/>
                      <w:highlight w:val="none"/>
                      <w:lang w:val="en-US" w:eastAsia="zh-CN"/>
                    </w:rPr>
                    <w:t>厂区东南侧</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7F13EFF4">
                  <w:pPr>
                    <w:snapToGrid w:val="0"/>
                    <w:spacing w:line="276" w:lineRule="auto"/>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本项目</w:t>
                  </w:r>
                  <w:r>
                    <w:rPr>
                      <w:rFonts w:hint="eastAsia" w:ascii="Times New Roman" w:hAnsi="Times New Roman" w:eastAsia="宋体" w:cs="Times New Roman"/>
                      <w:kern w:val="0"/>
                      <w:sz w:val="21"/>
                      <w:szCs w:val="21"/>
                      <w:highlight w:val="none"/>
                      <w:lang w:val="en-US" w:eastAsia="zh-CN"/>
                    </w:rPr>
                    <w:t>位于</w:t>
                  </w:r>
                  <w:r>
                    <w:rPr>
                      <w:rFonts w:ascii="Times New Roman" w:hAnsi="Times New Roman" w:eastAsia="宋体" w:cs="Times New Roman"/>
                      <w:kern w:val="0"/>
                      <w:sz w:val="21"/>
                      <w:szCs w:val="21"/>
                      <w:highlight w:val="none"/>
                    </w:rPr>
                    <w:t>天津经济技术开发区</w:t>
                  </w:r>
                  <w:r>
                    <w:rPr>
                      <w:rFonts w:hint="eastAsia" w:ascii="Times New Roman" w:hAnsi="Times New Roman" w:eastAsia="宋体" w:cs="Times New Roman"/>
                      <w:kern w:val="0"/>
                      <w:sz w:val="21"/>
                      <w:szCs w:val="21"/>
                      <w:highlight w:val="none"/>
                    </w:rPr>
                    <w:t>东区</w:t>
                  </w:r>
                  <w:r>
                    <w:rPr>
                      <w:rFonts w:ascii="Times New Roman" w:hAnsi="Times New Roman" w:eastAsia="宋体" w:cs="Times New Roman"/>
                      <w:kern w:val="0"/>
                      <w:sz w:val="21"/>
                      <w:szCs w:val="21"/>
                      <w:highlight w:val="none"/>
                    </w:rPr>
                    <w:t>相安路</w:t>
                  </w:r>
                  <w:r>
                    <w:rPr>
                      <w:rFonts w:hint="eastAsia" w:ascii="Times New Roman" w:hAnsi="Times New Roman" w:eastAsia="宋体" w:cs="Times New Roman"/>
                      <w:kern w:val="0"/>
                      <w:sz w:val="21"/>
                      <w:szCs w:val="21"/>
                      <w:highlight w:val="none"/>
                    </w:rPr>
                    <w:t>31号</w:t>
                  </w:r>
                  <w:r>
                    <w:rPr>
                      <w:rFonts w:hint="eastAsia" w:ascii="Times New Roman" w:hAnsi="Times New Roman" w:eastAsia="宋体" w:cs="Times New Roman"/>
                      <w:kern w:val="0"/>
                      <w:sz w:val="21"/>
                      <w:szCs w:val="21"/>
                      <w:highlight w:val="none"/>
                      <w:lang w:val="en-US" w:eastAsia="zh-CN"/>
                    </w:rPr>
                    <w:t>厂区东南侧</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55214352">
                  <w:pPr>
                    <w:snapToGrid w:val="0"/>
                    <w:jc w:val="center"/>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建设地点无变化</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04B7CEA9">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6D18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556" w:type="dxa"/>
                  <w:tcBorders>
                    <w:top w:val="single" w:color="auto" w:sz="4" w:space="0"/>
                    <w:left w:val="single" w:color="auto" w:sz="4" w:space="0"/>
                    <w:bottom w:val="single" w:color="auto" w:sz="4" w:space="0"/>
                    <w:right w:val="single" w:color="auto" w:sz="4" w:space="0"/>
                  </w:tcBorders>
                  <w:shd w:val="clear" w:color="auto" w:fill="auto"/>
                  <w:vAlign w:val="center"/>
                </w:tcPr>
                <w:p w14:paraId="08D9205C">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生产工艺</w:t>
                  </w: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630D5D00">
                  <w:pPr>
                    <w:snapToGrid w:val="0"/>
                    <w:spacing w:line="276" w:lineRule="auto"/>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（1）新增产品品种或生产工艺（含主要生产装置、设备及配套设施）、主要原辅材料、燃料变化，导致以下情形之一：</w:t>
                  </w:r>
                </w:p>
                <w:p w14:paraId="5EEEC35C">
                  <w:pPr>
                    <w:snapToGrid w:val="0"/>
                    <w:spacing w:line="276" w:lineRule="auto"/>
                    <w:jc w:val="left"/>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①</w:t>
                  </w:r>
                  <w:r>
                    <w:rPr>
                      <w:rFonts w:ascii="Times New Roman" w:hAnsi="Times New Roman" w:eastAsia="宋体" w:cs="Times New Roman"/>
                      <w:kern w:val="0"/>
                      <w:sz w:val="21"/>
                      <w:szCs w:val="21"/>
                      <w:highlight w:val="none"/>
                    </w:rPr>
                    <w:t>新增排放污染物种类的（毒性、挥发性降低的除外）</w:t>
                  </w:r>
                </w:p>
                <w:p w14:paraId="504F2D53">
                  <w:pPr>
                    <w:snapToGrid w:val="0"/>
                    <w:spacing w:line="276" w:lineRule="auto"/>
                    <w:jc w:val="left"/>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②</w:t>
                  </w:r>
                  <w:r>
                    <w:rPr>
                      <w:rFonts w:ascii="Times New Roman" w:hAnsi="Times New Roman" w:eastAsia="宋体" w:cs="Times New Roman"/>
                      <w:kern w:val="0"/>
                      <w:sz w:val="21"/>
                      <w:szCs w:val="21"/>
                      <w:highlight w:val="none"/>
                    </w:rPr>
                    <w:t>位于环境质量不达标区的建设项目相应污染物排放量增加的</w:t>
                  </w:r>
                </w:p>
                <w:p w14:paraId="70D4013C">
                  <w:pPr>
                    <w:snapToGrid w:val="0"/>
                    <w:spacing w:line="276" w:lineRule="auto"/>
                    <w:jc w:val="left"/>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③</w:t>
                  </w:r>
                  <w:r>
                    <w:rPr>
                      <w:rFonts w:ascii="Times New Roman" w:hAnsi="Times New Roman" w:eastAsia="宋体" w:cs="Times New Roman"/>
                      <w:kern w:val="0"/>
                      <w:sz w:val="21"/>
                      <w:szCs w:val="21"/>
                      <w:highlight w:val="none"/>
                    </w:rPr>
                    <w:t>废水第一类污染物排放量增加的</w:t>
                  </w:r>
                </w:p>
                <w:p w14:paraId="2FC7C931">
                  <w:pPr>
                    <w:snapToGrid w:val="0"/>
                    <w:spacing w:line="276" w:lineRule="auto"/>
                    <w:jc w:val="left"/>
                    <w:rPr>
                      <w:rFonts w:ascii="Times New Roman" w:hAnsi="Times New Roman" w:eastAsia="宋体" w:cs="Times New Roman"/>
                      <w:kern w:val="0"/>
                      <w:sz w:val="21"/>
                      <w:szCs w:val="21"/>
                      <w:highlight w:val="none"/>
                    </w:rPr>
                  </w:pPr>
                  <w:r>
                    <w:rPr>
                      <w:rFonts w:hint="eastAsia" w:ascii="宋体" w:hAnsi="宋体" w:eastAsia="宋体" w:cs="宋体"/>
                      <w:kern w:val="0"/>
                      <w:sz w:val="21"/>
                      <w:szCs w:val="21"/>
                      <w:highlight w:val="none"/>
                    </w:rPr>
                    <w:t>④</w:t>
                  </w:r>
                  <w:r>
                    <w:rPr>
                      <w:rFonts w:ascii="Times New Roman" w:hAnsi="Times New Roman" w:eastAsia="宋体" w:cs="Times New Roman"/>
                      <w:kern w:val="0"/>
                      <w:sz w:val="21"/>
                      <w:szCs w:val="21"/>
                      <w:highlight w:val="none"/>
                    </w:rPr>
                    <w:t>其他污染物排放量增加10%及以上的</w:t>
                  </w:r>
                </w:p>
                <w:p w14:paraId="7810B2D1">
                  <w:pPr>
                    <w:snapToGrid w:val="0"/>
                    <w:spacing w:line="276" w:lineRule="auto"/>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（2）物料运输、装卸、贮存方式变化，导致大气污染物无组织排放量增加10%及以上的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562519A4">
                  <w:pPr>
                    <w:snapToGrid w:val="0"/>
                    <w:spacing w:line="276" w:lineRule="auto"/>
                    <w:jc w:val="left"/>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（1）本项目不涉及生产及生产工艺</w:t>
                  </w:r>
                </w:p>
                <w:p w14:paraId="2342D4BD">
                  <w:pPr>
                    <w:snapToGrid w:val="0"/>
                    <w:spacing w:line="276" w:lineRule="auto"/>
                    <w:jc w:val="left"/>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（2）本项目无废气排放</w:t>
                  </w:r>
                </w:p>
                <w:p w14:paraId="747CB13D">
                  <w:pPr>
                    <w:snapToGrid w:val="0"/>
                    <w:spacing w:line="276" w:lineRule="auto"/>
                    <w:jc w:val="left"/>
                    <w:rPr>
                      <w:rFonts w:hint="default" w:ascii="Times New Roman" w:hAnsi="Times New Roman" w:eastAsia="宋体" w:cs="Times New Roman"/>
                      <w:kern w:val="0"/>
                      <w:sz w:val="21"/>
                      <w:szCs w:val="21"/>
                      <w:highlight w:val="none"/>
                      <w:lang w:val="en-US" w:eastAsia="zh-CN"/>
                    </w:rPr>
                  </w:pP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23DFA0D7">
                  <w:pPr>
                    <w:snapToGrid w:val="0"/>
                    <w:spacing w:line="276" w:lineRule="auto"/>
                    <w:jc w:val="left"/>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（1）本项目不涉及生产及生产工艺</w:t>
                  </w:r>
                </w:p>
                <w:p w14:paraId="39630AD0">
                  <w:pPr>
                    <w:snapToGrid w:val="0"/>
                    <w:spacing w:line="276" w:lineRule="auto"/>
                    <w:jc w:val="left"/>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（2）本项目无废气排放</w:t>
                  </w:r>
                </w:p>
                <w:p w14:paraId="7E519D15">
                  <w:pPr>
                    <w:snapToGrid w:val="0"/>
                    <w:spacing w:line="276" w:lineRule="auto"/>
                    <w:jc w:val="left"/>
                    <w:rPr>
                      <w:rFonts w:ascii="Times New Roman" w:hAnsi="Times New Roman" w:eastAsia="宋体" w:cs="Times New Roman"/>
                      <w:kern w:val="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14E369EB">
                  <w:pPr>
                    <w:snapToGrid w:val="0"/>
                    <w:spacing w:line="276" w:lineRule="auto"/>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lang w:eastAsia="zh-CN"/>
                    </w:rPr>
                    <w:t>（</w:t>
                  </w:r>
                  <w:r>
                    <w:rPr>
                      <w:rFonts w:ascii="Times New Roman" w:hAnsi="Times New Roman" w:eastAsia="宋体" w:cs="Times New Roman"/>
                      <w:kern w:val="0"/>
                      <w:sz w:val="21"/>
                      <w:szCs w:val="21"/>
                      <w:highlight w:val="none"/>
                    </w:rPr>
                    <w:t>1）本项目</w:t>
                  </w:r>
                  <w:r>
                    <w:rPr>
                      <w:rFonts w:hint="eastAsia" w:ascii="Times New Roman" w:hAnsi="Times New Roman" w:eastAsia="宋体" w:cs="Times New Roman"/>
                      <w:kern w:val="0"/>
                      <w:sz w:val="21"/>
                      <w:szCs w:val="21"/>
                      <w:highlight w:val="none"/>
                    </w:rPr>
                    <w:t>不新增</w:t>
                  </w:r>
                  <w:r>
                    <w:rPr>
                      <w:rFonts w:ascii="Times New Roman" w:hAnsi="Times New Roman" w:eastAsia="宋体" w:cs="Times New Roman"/>
                      <w:kern w:val="0"/>
                      <w:sz w:val="21"/>
                      <w:szCs w:val="21"/>
                      <w:highlight w:val="none"/>
                    </w:rPr>
                    <w:t>产品品种及生产工艺、主要原辅材料、燃料无变化。</w:t>
                  </w:r>
                </w:p>
                <w:p w14:paraId="06BEB1FB">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（2）本项目</w:t>
                  </w:r>
                  <w:r>
                    <w:rPr>
                      <w:rFonts w:hint="eastAsia" w:ascii="Times New Roman" w:hAnsi="Times New Roman" w:eastAsia="宋体" w:cs="Times New Roman"/>
                      <w:kern w:val="0"/>
                      <w:sz w:val="21"/>
                      <w:szCs w:val="21"/>
                      <w:highlight w:val="none"/>
                    </w:rPr>
                    <w:t>物料</w:t>
                  </w:r>
                  <w:r>
                    <w:rPr>
                      <w:rFonts w:ascii="Times New Roman" w:hAnsi="Times New Roman" w:eastAsia="宋体" w:cs="Times New Roman"/>
                      <w:kern w:val="0"/>
                      <w:sz w:val="21"/>
                      <w:szCs w:val="21"/>
                      <w:highlight w:val="none"/>
                    </w:rPr>
                    <w:t>运输、装卸、贮存方式无变化。</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11784688">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469F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5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90EE2B">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环境保护措施</w:t>
                  </w: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6FA0EF52">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废气、废水污染防治措施变化，导致第4条中所列情形之一（废气无组织排放改为有组织排放、污染防治措施强化或改进的除外）或大气污染物无组织排放量增加10%及以上的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02C4BAFC">
                  <w:pPr>
                    <w:spacing w:line="276" w:lineRule="auto"/>
                    <w:rPr>
                      <w:rFonts w:hint="default" w:ascii="Times New Roman" w:hAnsi="Times New Roman" w:eastAsia="宋体" w:cs="Times New Roman"/>
                      <w:kern w:val="0"/>
                      <w:sz w:val="21"/>
                      <w:szCs w:val="21"/>
                      <w:highlight w:val="none"/>
                      <w:lang w:val="en-US"/>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本项目无废气、废水排放</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081E46FF">
                  <w:pPr>
                    <w:snapToGrid w:val="0"/>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本项目无废气、废水排放</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296DFA4A">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本项目</w:t>
                  </w:r>
                  <w:r>
                    <w:rPr>
                      <w:rFonts w:hint="eastAsia" w:ascii="Times New Roman" w:hAnsi="Times New Roman" w:eastAsia="宋体" w:cs="Times New Roman"/>
                      <w:kern w:val="0"/>
                      <w:sz w:val="21"/>
                      <w:szCs w:val="21"/>
                      <w:highlight w:val="none"/>
                      <w:lang w:val="en-US" w:eastAsia="zh-CN"/>
                    </w:rPr>
                    <w:t>废气、</w:t>
                  </w:r>
                  <w:r>
                    <w:rPr>
                      <w:rFonts w:ascii="Times New Roman" w:hAnsi="Times New Roman" w:eastAsia="宋体" w:cs="Times New Roman"/>
                      <w:kern w:val="0"/>
                      <w:sz w:val="21"/>
                      <w:szCs w:val="21"/>
                      <w:highlight w:val="none"/>
                    </w:rPr>
                    <w:t>废水污染防治措施未发生变化。</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13F70119">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1B05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5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59422A">
                  <w:pPr>
                    <w:rPr>
                      <w:rFonts w:ascii="Times New Roman" w:hAnsi="Times New Roman" w:eastAsia="宋体" w:cs="Times New Roman"/>
                      <w:sz w:val="21"/>
                      <w:szCs w:val="21"/>
                      <w:highlight w:val="yellow"/>
                    </w:rPr>
                  </w:pP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562EDD67">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新增废水直接排放口；废水由间接排放改为直接排放；废水直接排放口位置变化，导致不利环境影响加重的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18D14773">
                  <w:pPr>
                    <w:snapToGrid w:val="0"/>
                    <w:jc w:val="left"/>
                    <w:rPr>
                      <w:rFonts w:hint="default"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本项目无废水排放</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12007A8C">
                  <w:pPr>
                    <w:snapToGrid w:val="0"/>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本项目无废水排放</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0B48E8D4">
                  <w:pPr>
                    <w:snapToGrid w:val="0"/>
                    <w:jc w:val="center"/>
                    <w:rPr>
                      <w:rFonts w:hint="eastAsia" w:ascii="Times New Roman" w:hAnsi="Times New Roman" w:eastAsia="宋体" w:cs="Times New Roman"/>
                      <w:kern w:val="0"/>
                      <w:sz w:val="21"/>
                      <w:szCs w:val="21"/>
                      <w:highlight w:val="none"/>
                      <w:lang w:val="en-US" w:eastAsia="zh-CN"/>
                    </w:rPr>
                  </w:pPr>
                  <w:r>
                    <w:rPr>
                      <w:rFonts w:ascii="Times New Roman" w:hAnsi="Times New Roman" w:eastAsia="宋体" w:cs="Times New Roman"/>
                      <w:kern w:val="0"/>
                      <w:sz w:val="21"/>
                      <w:szCs w:val="21"/>
                      <w:highlight w:val="none"/>
                    </w:rPr>
                    <w:t>本项目</w:t>
                  </w:r>
                  <w:r>
                    <w:rPr>
                      <w:rFonts w:hint="eastAsia" w:ascii="Times New Roman" w:hAnsi="Times New Roman" w:eastAsia="宋体" w:cs="Times New Roman"/>
                      <w:kern w:val="0"/>
                      <w:sz w:val="21"/>
                      <w:szCs w:val="21"/>
                      <w:highlight w:val="none"/>
                      <w:lang w:val="en-US" w:eastAsia="zh-CN"/>
                    </w:rPr>
                    <w:t>实际建设</w:t>
                  </w:r>
                  <w:r>
                    <w:rPr>
                      <w:rFonts w:ascii="Times New Roman" w:hAnsi="Times New Roman" w:eastAsia="宋体" w:cs="Times New Roman"/>
                      <w:kern w:val="0"/>
                      <w:sz w:val="21"/>
                      <w:szCs w:val="21"/>
                      <w:highlight w:val="none"/>
                    </w:rPr>
                    <w:t>未新增废水排放口</w:t>
                  </w:r>
                  <w:r>
                    <w:rPr>
                      <w:rFonts w:hint="eastAsia" w:ascii="Times New Roman" w:hAnsi="Times New Roman" w:eastAsia="宋体" w:cs="Times New Roman"/>
                      <w:kern w:val="0"/>
                      <w:sz w:val="21"/>
                      <w:szCs w:val="21"/>
                      <w:highlight w:val="none"/>
                      <w:lang w:eastAsia="zh-CN"/>
                    </w:rPr>
                    <w:t>，</w:t>
                  </w:r>
                  <w:r>
                    <w:rPr>
                      <w:rFonts w:hint="eastAsia" w:ascii="Times New Roman" w:hAnsi="Times New Roman" w:eastAsia="宋体" w:cs="Times New Roman"/>
                      <w:kern w:val="0"/>
                      <w:sz w:val="21"/>
                      <w:szCs w:val="21"/>
                      <w:highlight w:val="none"/>
                      <w:lang w:val="en-US" w:eastAsia="zh-CN"/>
                    </w:rPr>
                    <w:t>无废水排放</w:t>
                  </w:r>
                  <w:r>
                    <w:rPr>
                      <w:rFonts w:ascii="Times New Roman" w:hAnsi="Times New Roman" w:eastAsia="宋体" w:cs="Times New Roman"/>
                      <w:kern w:val="0"/>
                      <w:sz w:val="21"/>
                      <w:szCs w:val="21"/>
                      <w:highlight w:val="none"/>
                    </w:rPr>
                    <w:t>。</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0409BF9F">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2A3E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5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C546F6">
                  <w:pPr>
                    <w:rPr>
                      <w:rFonts w:ascii="Times New Roman" w:hAnsi="Times New Roman" w:eastAsia="宋体" w:cs="Times New Roman"/>
                      <w:sz w:val="21"/>
                      <w:szCs w:val="21"/>
                      <w:highlight w:val="yellow"/>
                    </w:rPr>
                  </w:pP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04D0241D">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新增废气主要排放口（废气无组织排放改为有组织排放的除外）；主要排放口排气筒高度降低10%及以上的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58315131">
                  <w:pPr>
                    <w:pStyle w:val="5"/>
                    <w:ind w:left="0" w:leftChars="0" w:firstLine="0" w:firstLineChars="0"/>
                    <w:rPr>
                      <w:rFonts w:hint="default"/>
                      <w:sz w:val="21"/>
                      <w:szCs w:val="21"/>
                      <w:highlight w:val="none"/>
                      <w:lang w:val="en-US" w:eastAsia="zh-CN"/>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本项目无废气排放</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7771F649">
                  <w:pPr>
                    <w:snapToGrid w:val="0"/>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本项目无废气排放</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76D10376">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无变动</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249E97A1">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1B73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DE257E">
                  <w:pPr>
                    <w:rPr>
                      <w:rFonts w:ascii="Times New Roman" w:hAnsi="Times New Roman" w:eastAsia="宋体" w:cs="Times New Roman"/>
                      <w:sz w:val="21"/>
                      <w:szCs w:val="21"/>
                      <w:highlight w:val="yellow"/>
                    </w:rPr>
                  </w:pP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4C8B7BC9">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噪声、土壤或地下水污染防治措施变化，导致不利环境影响加重的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56E14F87">
                  <w:pPr>
                    <w:snapToGrid w:val="0"/>
                    <w:jc w:val="left"/>
                    <w:rPr>
                      <w:rFonts w:hint="default" w:ascii="Times New Roman" w:hAnsi="Times New Roman" w:eastAsia="宋体" w:cs="Times New Roman"/>
                      <w:kern w:val="0"/>
                      <w:sz w:val="21"/>
                      <w:szCs w:val="21"/>
                      <w:highlight w:val="none"/>
                      <w:lang w:val="en-US"/>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本项目新增设备采用低噪声设备</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670FC3B9">
                  <w:pPr>
                    <w:snapToGrid w:val="0"/>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本项目新增设备采用低噪声设备</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4592E4A7">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无变动</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2B3F0BB7">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79CC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5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1B0320">
                  <w:pPr>
                    <w:rPr>
                      <w:rFonts w:ascii="Times New Roman" w:hAnsi="Times New Roman" w:eastAsia="宋体" w:cs="Times New Roman"/>
                      <w:sz w:val="21"/>
                      <w:szCs w:val="21"/>
                      <w:highlight w:val="yellow"/>
                    </w:rPr>
                  </w:pP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2DE9EE47">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固体废物利用处置方式由委托外单位利用处置改为自行利用处置的（自行利用处置设施单独开展环境影响评价的除外）；固体废物自行处置方式变化，导致不利环境影响加重的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68C2282F">
                  <w:pPr>
                    <w:pStyle w:val="5"/>
                    <w:ind w:left="0" w:lef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本项目无固体废物产生</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1379CFBA">
                  <w:pPr>
                    <w:pStyle w:val="5"/>
                    <w:ind w:left="0" w:leftChars="0" w:firstLine="0" w:firstLineChars="0"/>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本项目无固体废物产生</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2C08F3FA">
                  <w:pPr>
                    <w:pStyle w:val="5"/>
                    <w:ind w:left="0" w:leftChars="0" w:firstLine="0" w:firstLineChars="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无变动</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70D9A124">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r w14:paraId="7F69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33CFA6">
                  <w:pPr>
                    <w:rPr>
                      <w:rFonts w:ascii="Times New Roman" w:hAnsi="Times New Roman" w:eastAsia="宋体" w:cs="Times New Roman"/>
                      <w:sz w:val="21"/>
                      <w:szCs w:val="21"/>
                      <w:highlight w:val="yellow"/>
                    </w:rPr>
                  </w:pPr>
                </w:p>
              </w:tc>
              <w:tc>
                <w:tcPr>
                  <w:tcW w:w="2152" w:type="dxa"/>
                  <w:tcBorders>
                    <w:top w:val="single" w:color="auto" w:sz="4" w:space="0"/>
                    <w:left w:val="single" w:color="auto" w:sz="4" w:space="0"/>
                    <w:bottom w:val="single" w:color="auto" w:sz="4" w:space="0"/>
                    <w:right w:val="single" w:color="auto" w:sz="4" w:space="0"/>
                  </w:tcBorders>
                  <w:shd w:val="clear" w:color="auto" w:fill="auto"/>
                  <w:vAlign w:val="center"/>
                </w:tcPr>
                <w:p w14:paraId="5203E43E">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事故废水暂存能力或拦截设施变化，导致环境风险防范能力弱化或降低的。</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14:paraId="2753AC27">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本项目不涉及</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77EC1B84">
                  <w:pPr>
                    <w:snapToGrid w:val="0"/>
                    <w:jc w:val="left"/>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本项目不涉及</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323DE58D">
                  <w:pPr>
                    <w:snapToGrid w:val="0"/>
                    <w:jc w:val="center"/>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无变动</w:t>
                  </w:r>
                </w:p>
              </w:tc>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5C003D2E">
                  <w:pPr>
                    <w:snapToGrid w:val="0"/>
                    <w:jc w:val="center"/>
                    <w:rPr>
                      <w:rFonts w:hint="eastAsia" w:ascii="Times New Roman" w:hAnsi="Times New Roman" w:eastAsia="宋体" w:cs="Times New Roman"/>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否</w:t>
                  </w:r>
                </w:p>
              </w:tc>
            </w:tr>
          </w:tbl>
          <w:p w14:paraId="492D6932">
            <w:pPr>
              <w:spacing w:line="360" w:lineRule="auto"/>
              <w:ind w:firstLine="480" w:firstLineChars="200"/>
              <w:jc w:val="left"/>
              <w:rPr>
                <w:rFonts w:ascii="Times New Roman" w:hAnsi="Times New Roman" w:cs="Times New Roman"/>
                <w:sz w:val="24"/>
                <w:szCs w:val="24"/>
                <w:highlight w:val="none"/>
              </w:rPr>
            </w:pPr>
            <w:r>
              <w:rPr>
                <w:rFonts w:hint="eastAsia" w:ascii="Times New Roman" w:hAnsi="Times New Roman" w:cs="Times New Roman"/>
                <w:sz w:val="24"/>
                <w:szCs w:val="24"/>
                <w:highlight w:val="none"/>
              </w:rPr>
              <w:t>由上表可知，本项目不存在中华人民共和国生态环境部办公厅关于印发《污染影响类建设项目重大变动清单（试行）》的通知（环办环评函</w:t>
            </w:r>
            <w:r>
              <w:rPr>
                <w:rFonts w:ascii="Times New Roman" w:hAnsi="Times New Roman" w:cs="Times New Roman"/>
                <w:sz w:val="24"/>
                <w:szCs w:val="24"/>
                <w:highlight w:val="none"/>
              </w:rPr>
              <w:t>[2020]688</w:t>
            </w:r>
            <w:r>
              <w:rPr>
                <w:rFonts w:hint="eastAsia" w:ascii="Times New Roman" w:hAnsi="Times New Roman" w:cs="Times New Roman"/>
                <w:sz w:val="24"/>
                <w:szCs w:val="24"/>
                <w:highlight w:val="none"/>
              </w:rPr>
              <w:t>号）中列举的重大变更事项。</w:t>
            </w:r>
          </w:p>
          <w:p w14:paraId="54362476">
            <w:pPr>
              <w:rPr>
                <w:rFonts w:ascii="Times New Roman" w:hAnsi="Times New Roman" w:cs="Times New Roman"/>
                <w:sz w:val="28"/>
                <w:szCs w:val="28"/>
                <w:highlight w:val="none"/>
              </w:rPr>
            </w:pPr>
          </w:p>
          <w:p w14:paraId="2CBE767E">
            <w:pPr>
              <w:pStyle w:val="5"/>
              <w:rPr>
                <w:rFonts w:ascii="Times New Roman" w:hAnsi="Times New Roman" w:cs="Times New Roman"/>
                <w:sz w:val="28"/>
                <w:szCs w:val="28"/>
                <w:highlight w:val="yellow"/>
              </w:rPr>
            </w:pPr>
          </w:p>
          <w:p w14:paraId="2A0F2FF0">
            <w:pPr>
              <w:pStyle w:val="6"/>
              <w:rPr>
                <w:rFonts w:ascii="Times New Roman" w:hAnsi="Times New Roman" w:cs="Times New Roman"/>
                <w:sz w:val="28"/>
                <w:szCs w:val="28"/>
                <w:highlight w:val="yellow"/>
              </w:rPr>
            </w:pPr>
          </w:p>
          <w:p w14:paraId="06C1EAB0">
            <w:pPr>
              <w:rPr>
                <w:rFonts w:ascii="Times New Roman" w:hAnsi="Times New Roman" w:cs="Times New Roman"/>
                <w:sz w:val="28"/>
                <w:szCs w:val="28"/>
                <w:highlight w:val="yellow"/>
              </w:rPr>
            </w:pPr>
          </w:p>
          <w:p w14:paraId="2982BFDD">
            <w:pPr>
              <w:pStyle w:val="5"/>
              <w:rPr>
                <w:rFonts w:ascii="Times New Roman" w:hAnsi="Times New Roman" w:cs="Times New Roman"/>
                <w:sz w:val="28"/>
                <w:szCs w:val="28"/>
                <w:highlight w:val="yellow"/>
              </w:rPr>
            </w:pPr>
          </w:p>
          <w:p w14:paraId="0C98B60F">
            <w:pPr>
              <w:pStyle w:val="6"/>
              <w:rPr>
                <w:rFonts w:ascii="Times New Roman" w:hAnsi="Times New Roman" w:cs="Times New Roman"/>
                <w:sz w:val="28"/>
                <w:szCs w:val="28"/>
                <w:highlight w:val="yellow"/>
              </w:rPr>
            </w:pPr>
          </w:p>
          <w:p w14:paraId="72FEAA13">
            <w:pPr>
              <w:rPr>
                <w:highlight w:val="yellow"/>
              </w:rPr>
            </w:pPr>
          </w:p>
          <w:p w14:paraId="7DE2EB48">
            <w:pPr>
              <w:pStyle w:val="6"/>
              <w:rPr>
                <w:highlight w:val="yellow"/>
              </w:rPr>
            </w:pPr>
          </w:p>
        </w:tc>
      </w:tr>
    </w:tbl>
    <w:p w14:paraId="1D7D3ED9">
      <w:pPr>
        <w:spacing w:line="276" w:lineRule="auto"/>
        <w:jc w:val="left"/>
        <w:outlineLvl w:val="0"/>
        <w:rPr>
          <w:rFonts w:ascii="Times New Roman" w:hAnsi="Times New Roman" w:cs="Times New Roman"/>
          <w:sz w:val="28"/>
          <w:szCs w:val="28"/>
          <w:highlight w:val="yellow"/>
        </w:rPr>
        <w:sectPr>
          <w:pgSz w:w="11906" w:h="16838"/>
          <w:pgMar w:top="1440" w:right="1588" w:bottom="1440" w:left="1588" w:header="851" w:footer="992" w:gutter="0"/>
          <w:cols w:space="425" w:num="1"/>
          <w:docGrid w:type="lines" w:linePitch="312" w:charSpace="0"/>
        </w:sectPr>
      </w:pPr>
    </w:p>
    <w:p w14:paraId="29A875DE">
      <w:pPr>
        <w:spacing w:line="276" w:lineRule="auto"/>
        <w:jc w:val="left"/>
        <w:outlineLvl w:val="0"/>
        <w:rPr>
          <w:rFonts w:ascii="Times New Roman" w:hAnsi="Times New Roman" w:cs="Times New Roman"/>
          <w:sz w:val="28"/>
          <w:szCs w:val="28"/>
          <w:highlight w:val="none"/>
        </w:rPr>
      </w:pPr>
      <w:bookmarkStart w:id="16" w:name="_Toc112582504"/>
      <w:r>
        <w:rPr>
          <w:rFonts w:ascii="Times New Roman" w:hAnsi="Times New Roman" w:cs="Times New Roman"/>
          <w:sz w:val="28"/>
          <w:szCs w:val="28"/>
          <w:highlight w:val="none"/>
        </w:rPr>
        <w:t>表三</w:t>
      </w:r>
      <w:bookmarkEnd w:id="16"/>
    </w:p>
    <w:tbl>
      <w:tblPr>
        <w:tblStyle w:val="20"/>
        <w:tblW w:w="9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5"/>
      </w:tblGrid>
      <w:tr w14:paraId="6999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090" w:hRule="atLeast"/>
        </w:trPr>
        <w:tc>
          <w:tcPr>
            <w:tcW w:w="9005" w:type="dxa"/>
          </w:tcPr>
          <w:p w14:paraId="3F8ADDE2">
            <w:pPr>
              <w:spacing w:line="276" w:lineRule="auto"/>
              <w:jc w:val="left"/>
              <w:outlineLvl w:val="0"/>
              <w:rPr>
                <w:rFonts w:ascii="Times New Roman" w:hAnsi="Times New Roman" w:cs="Times New Roman"/>
                <w:sz w:val="24"/>
                <w:szCs w:val="24"/>
                <w:highlight w:val="none"/>
              </w:rPr>
            </w:pPr>
            <w:bookmarkStart w:id="17" w:name="_Toc112582505"/>
            <w:r>
              <w:rPr>
                <w:rFonts w:ascii="Times New Roman" w:hAnsi="Times New Roman" w:cs="Times New Roman"/>
                <w:sz w:val="24"/>
                <w:szCs w:val="24"/>
                <w:highlight w:val="none"/>
              </w:rPr>
              <w:t>主要污染源、污染物处理和排放：</w:t>
            </w:r>
            <w:bookmarkEnd w:id="17"/>
          </w:p>
          <w:p w14:paraId="5636A3FC">
            <w:pPr>
              <w:spacing w:line="360" w:lineRule="auto"/>
              <w:jc w:val="left"/>
              <w:outlineLvl w:val="0"/>
              <w:rPr>
                <w:rFonts w:hint="eastAsia" w:ascii="Times New Roman" w:hAnsi="Times New Roman" w:cs="Times New Roman"/>
                <w:sz w:val="24"/>
                <w:szCs w:val="24"/>
                <w:highlight w:val="none"/>
                <w:lang w:val="en-US" w:eastAsia="zh-CN"/>
              </w:rPr>
            </w:pPr>
            <w:bookmarkStart w:id="18" w:name="_Toc112582510"/>
            <w:r>
              <w:rPr>
                <w:rFonts w:hint="eastAsia" w:ascii="Times New Roman" w:hAnsi="Times New Roman" w:cs="Times New Roman"/>
                <w:sz w:val="24"/>
                <w:szCs w:val="24"/>
                <w:highlight w:val="none"/>
                <w:lang w:val="en-US" w:eastAsia="zh-CN"/>
              </w:rPr>
              <w:t>3.1废气</w:t>
            </w:r>
          </w:p>
          <w:p w14:paraId="0E4407FE">
            <w:pPr>
              <w:pStyle w:val="5"/>
              <w:rPr>
                <w:rFonts w:hint="eastAsia" w:asciiTheme="minorHAnsi" w:hAnsiTheme="minorHAnsi" w:eastAsiaTheme="minorEastAsia" w:cstheme="minorBidi"/>
                <w:kern w:val="2"/>
                <w:sz w:val="24"/>
                <w:szCs w:val="24"/>
                <w:highlight w:val="none"/>
                <w:lang w:val="en-US" w:eastAsia="zh-CN" w:bidi="ar-SA"/>
              </w:rPr>
            </w:pPr>
            <w:r>
              <w:rPr>
                <w:rFonts w:hint="eastAsia" w:asciiTheme="minorHAnsi" w:hAnsiTheme="minorHAnsi" w:eastAsiaTheme="minorEastAsia" w:cstheme="minorBidi"/>
                <w:kern w:val="2"/>
                <w:sz w:val="24"/>
                <w:szCs w:val="24"/>
                <w:highlight w:val="none"/>
                <w:lang w:val="en-US" w:eastAsia="zh-CN" w:bidi="ar-SA"/>
              </w:rPr>
              <w:t>本项目运营期无废气产生。</w:t>
            </w:r>
          </w:p>
          <w:p w14:paraId="2637763B">
            <w:pPr>
              <w:pStyle w:val="6"/>
              <w:rPr>
                <w:rFonts w:hint="eastAsia" w:asciiTheme="minorHAnsi" w:hAnsiTheme="minorHAnsi" w:eastAsiaTheme="minorEastAsia" w:cstheme="minorBidi"/>
                <w:kern w:val="2"/>
                <w:sz w:val="24"/>
                <w:szCs w:val="24"/>
                <w:highlight w:val="none"/>
                <w:lang w:val="en-US" w:eastAsia="zh-CN" w:bidi="ar-SA"/>
              </w:rPr>
            </w:pPr>
            <w:r>
              <w:rPr>
                <w:rFonts w:hint="eastAsia" w:asciiTheme="minorHAnsi" w:hAnsiTheme="minorHAnsi" w:eastAsiaTheme="minorEastAsia" w:cstheme="minorBidi"/>
                <w:kern w:val="2"/>
                <w:sz w:val="24"/>
                <w:szCs w:val="24"/>
                <w:highlight w:val="none"/>
                <w:lang w:val="en-US" w:eastAsia="zh-CN" w:bidi="ar-SA"/>
              </w:rPr>
              <w:t>3.2废水</w:t>
            </w:r>
          </w:p>
          <w:p w14:paraId="040F85BA">
            <w:pPr>
              <w:rPr>
                <w:rFonts w:hint="default" w:asciiTheme="minorHAnsi" w:hAnsiTheme="minorHAnsi" w:eastAsiaTheme="minorEastAsia" w:cstheme="minorBidi"/>
                <w:kern w:val="2"/>
                <w:sz w:val="24"/>
                <w:szCs w:val="24"/>
                <w:highlight w:val="none"/>
                <w:lang w:val="en-US" w:eastAsia="zh-CN" w:bidi="ar-SA"/>
              </w:rPr>
            </w:pPr>
            <w:r>
              <w:rPr>
                <w:rFonts w:hint="eastAsia" w:asciiTheme="minorHAnsi" w:hAnsiTheme="minorHAnsi" w:eastAsiaTheme="minorEastAsia" w:cstheme="minorBidi"/>
                <w:kern w:val="2"/>
                <w:sz w:val="24"/>
                <w:szCs w:val="24"/>
                <w:highlight w:val="none"/>
                <w:lang w:val="en-US" w:eastAsia="zh-CN" w:bidi="ar-SA"/>
              </w:rPr>
              <w:t xml:space="preserve">    本项目无新增废水排放。</w:t>
            </w:r>
          </w:p>
          <w:p w14:paraId="399293AA">
            <w:pPr>
              <w:spacing w:line="360" w:lineRule="auto"/>
              <w:jc w:val="left"/>
              <w:outlineLvl w:val="0"/>
              <w:rPr>
                <w:rFonts w:ascii="Times New Roman" w:hAnsi="Times New Roman" w:cs="Times New Roman"/>
                <w:sz w:val="24"/>
                <w:szCs w:val="24"/>
                <w:highlight w:val="none"/>
              </w:rPr>
            </w:pPr>
            <w:r>
              <w:rPr>
                <w:rFonts w:ascii="Times New Roman" w:hAnsi="Times New Roman" w:cs="Times New Roman"/>
                <w:sz w:val="24"/>
                <w:szCs w:val="24"/>
                <w:highlight w:val="none"/>
              </w:rPr>
              <w:t>3.3噪声</w:t>
            </w:r>
            <w:bookmarkEnd w:id="18"/>
          </w:p>
          <w:p w14:paraId="35C98539">
            <w:pPr>
              <w:spacing w:line="360" w:lineRule="auto"/>
              <w:ind w:firstLine="480" w:firstLineChars="200"/>
              <w:jc w:val="left"/>
              <w:outlineLvl w:val="0"/>
              <w:rPr>
                <w:sz w:val="24"/>
                <w:szCs w:val="24"/>
                <w:highlight w:val="none"/>
              </w:rPr>
            </w:pPr>
            <w:bookmarkStart w:id="19" w:name="_Toc112582511"/>
            <w:r>
              <w:rPr>
                <w:sz w:val="24"/>
                <w:szCs w:val="24"/>
                <w:highlight w:val="none"/>
              </w:rPr>
              <w:t>本项目通过采用低噪声设备、合理布局、墙体隔声等措施减少噪声对环境的影响</w:t>
            </w:r>
            <w:r>
              <w:rPr>
                <w:rFonts w:hint="eastAsia"/>
                <w:sz w:val="24"/>
                <w:szCs w:val="24"/>
                <w:highlight w:val="none"/>
              </w:rPr>
              <w:t>。</w:t>
            </w:r>
          </w:p>
          <w:bookmarkEnd w:id="19"/>
          <w:p w14:paraId="0870CF12">
            <w:pPr>
              <w:spacing w:line="360" w:lineRule="auto"/>
              <w:jc w:val="left"/>
              <w:outlineLvl w:val="0"/>
              <w:rPr>
                <w:rFonts w:ascii="Times New Roman" w:hAnsi="Times New Roman" w:cs="Times New Roman"/>
                <w:sz w:val="24"/>
                <w:szCs w:val="24"/>
                <w:highlight w:val="none"/>
              </w:rPr>
            </w:pPr>
            <w:bookmarkStart w:id="20" w:name="_Toc112582512"/>
            <w:r>
              <w:rPr>
                <w:rFonts w:ascii="Times New Roman" w:hAnsi="Times New Roman" w:cs="Times New Roman"/>
                <w:sz w:val="24"/>
                <w:szCs w:val="24"/>
                <w:highlight w:val="none"/>
              </w:rPr>
              <w:t>3.4固体废物</w:t>
            </w:r>
            <w:bookmarkEnd w:id="20"/>
          </w:p>
          <w:p w14:paraId="2EB2A8D8">
            <w:pPr>
              <w:spacing w:line="360" w:lineRule="auto"/>
              <w:ind w:firstLine="480" w:firstLineChars="200"/>
              <w:jc w:val="left"/>
              <w:outlineLvl w:val="0"/>
              <w:rPr>
                <w:rFonts w:hint="default" w:eastAsiaTheme="minorEastAsia"/>
                <w:sz w:val="24"/>
                <w:szCs w:val="24"/>
                <w:highlight w:val="none"/>
                <w:lang w:val="en-US" w:eastAsia="zh-CN"/>
              </w:rPr>
            </w:pPr>
            <w:bookmarkStart w:id="21" w:name="_Toc112582513"/>
            <w:r>
              <w:rPr>
                <w:rFonts w:hint="eastAsia"/>
                <w:sz w:val="24"/>
                <w:szCs w:val="24"/>
                <w:highlight w:val="none"/>
                <w:lang w:val="en-US" w:eastAsia="zh-CN"/>
              </w:rPr>
              <w:t>本项目无固体废物产生。</w:t>
            </w:r>
          </w:p>
          <w:bookmarkEnd w:id="21"/>
          <w:p w14:paraId="74597743">
            <w:pPr>
              <w:spacing w:line="360" w:lineRule="auto"/>
              <w:jc w:val="left"/>
              <w:outlineLvl w:val="0"/>
              <w:rPr>
                <w:rFonts w:ascii="Times New Roman" w:hAnsi="Times New Roman" w:cs="Times New Roman"/>
                <w:sz w:val="24"/>
                <w:szCs w:val="24"/>
                <w:highlight w:val="none"/>
              </w:rPr>
            </w:pPr>
            <w:r>
              <w:rPr>
                <w:rFonts w:ascii="Times New Roman" w:hAnsi="Times New Roman" w:cs="Times New Roman"/>
                <w:sz w:val="24"/>
                <w:szCs w:val="24"/>
                <w:highlight w:val="none"/>
              </w:rPr>
              <w:t>3.</w:t>
            </w:r>
            <w:r>
              <w:rPr>
                <w:rFonts w:hint="eastAsia" w:ascii="Times New Roman" w:hAnsi="Times New Roman" w:cs="Times New Roman"/>
                <w:sz w:val="24"/>
                <w:szCs w:val="24"/>
                <w:highlight w:val="none"/>
              </w:rPr>
              <w:t>5排污口规范化</w:t>
            </w:r>
          </w:p>
          <w:p w14:paraId="25B7F57F">
            <w:pPr>
              <w:spacing w:line="36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本项目已按照环评要求进行了排污口规范化，并设置环境保护图形标识牌，具体见图</w:t>
            </w:r>
            <w:r>
              <w:rPr>
                <w:rFonts w:hint="eastAsia" w:ascii="Times New Roman" w:hAnsi="Times New Roman" w:eastAsia="宋体" w:cs="Times New Roman"/>
                <w:sz w:val="24"/>
                <w:szCs w:val="24"/>
                <w:highlight w:val="none"/>
              </w:rPr>
              <w:t>3-1</w:t>
            </w:r>
            <w:r>
              <w:rPr>
                <w:rFonts w:ascii="Times New Roman" w:hAnsi="Times New Roman" w:eastAsia="宋体" w:cs="Times New Roman"/>
                <w:sz w:val="24"/>
                <w:szCs w:val="24"/>
                <w:highlight w:val="none"/>
              </w:rPr>
              <w:t>。</w:t>
            </w:r>
          </w:p>
          <w:tbl>
            <w:tblPr>
              <w:tblStyle w:val="19"/>
              <w:tblW w:w="7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70"/>
              <w:gridCol w:w="3770"/>
            </w:tblGrid>
            <w:tr w14:paraId="5229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jc w:val="center"/>
              </w:trPr>
              <w:tc>
                <w:tcPr>
                  <w:tcW w:w="2500" w:type="pct"/>
                  <w:vAlign w:val="center"/>
                </w:tcPr>
                <w:p w14:paraId="47F174A6">
                  <w:pPr>
                    <w:autoSpaceDE w:val="0"/>
                    <w:autoSpaceDN w:val="0"/>
                    <w:adjustRightInd w:val="0"/>
                    <w:spacing w:line="360" w:lineRule="auto"/>
                    <w:jc w:val="center"/>
                    <w:rPr>
                      <w:rFonts w:hint="default" w:eastAsiaTheme="minorEastAsia"/>
                      <w:sz w:val="24"/>
                      <w:highlight w:val="yellow"/>
                      <w:lang w:val="en-US" w:eastAsia="zh-CN"/>
                    </w:rPr>
                  </w:pPr>
                  <w:r>
                    <w:drawing>
                      <wp:inline distT="0" distB="0" distL="114300" distR="114300">
                        <wp:extent cx="2341880" cy="1795780"/>
                        <wp:effectExtent l="0" t="0" r="1270" b="1397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2"/>
                                <a:stretch>
                                  <a:fillRect/>
                                </a:stretch>
                              </pic:blipFill>
                              <pic:spPr>
                                <a:xfrm>
                                  <a:off x="0" y="0"/>
                                  <a:ext cx="2341880" cy="1795780"/>
                                </a:xfrm>
                                <a:prstGeom prst="rect">
                                  <a:avLst/>
                                </a:prstGeom>
                                <a:noFill/>
                                <a:ln>
                                  <a:noFill/>
                                </a:ln>
                              </pic:spPr>
                            </pic:pic>
                          </a:graphicData>
                        </a:graphic>
                      </wp:inline>
                    </w:drawing>
                  </w:r>
                </w:p>
              </w:tc>
              <w:tc>
                <w:tcPr>
                  <w:tcW w:w="2500" w:type="pct"/>
                  <w:vAlign w:val="center"/>
                </w:tcPr>
                <w:p w14:paraId="5D62823B">
                  <w:pPr>
                    <w:autoSpaceDE w:val="0"/>
                    <w:autoSpaceDN w:val="0"/>
                    <w:adjustRightInd w:val="0"/>
                    <w:spacing w:line="360" w:lineRule="auto"/>
                    <w:jc w:val="center"/>
                  </w:pPr>
                  <w:r>
                    <w:drawing>
                      <wp:inline distT="0" distB="0" distL="114300" distR="114300">
                        <wp:extent cx="2253615" cy="1685925"/>
                        <wp:effectExtent l="0" t="0" r="1333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2253615" cy="1685925"/>
                                </a:xfrm>
                                <a:prstGeom prst="rect">
                                  <a:avLst/>
                                </a:prstGeom>
                                <a:noFill/>
                                <a:ln>
                                  <a:noFill/>
                                </a:ln>
                              </pic:spPr>
                            </pic:pic>
                          </a:graphicData>
                        </a:graphic>
                      </wp:inline>
                    </w:drawing>
                  </w:r>
                </w:p>
              </w:tc>
            </w:tr>
            <w:tr w14:paraId="1B63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500" w:type="pct"/>
                  <w:vAlign w:val="center"/>
                </w:tcPr>
                <w:p w14:paraId="39C117A4">
                  <w:pPr>
                    <w:autoSpaceDE w:val="0"/>
                    <w:autoSpaceDN w:val="0"/>
                    <w:adjustRightInd w:val="0"/>
                    <w:spacing w:line="360" w:lineRule="auto"/>
                    <w:jc w:val="center"/>
                    <w:rPr>
                      <w:rFonts w:hint="eastAsia" w:eastAsiaTheme="minorEastAsia"/>
                      <w:lang w:val="en-US" w:eastAsia="zh-CN"/>
                    </w:rPr>
                  </w:pPr>
                  <w:bookmarkStart w:id="22" w:name="_Toc112582514"/>
                  <w:r>
                    <w:rPr>
                      <w:rFonts w:hint="eastAsia"/>
                      <w:lang w:val="en-US" w:eastAsia="zh-CN"/>
                    </w:rPr>
                    <w:t>标识牌</w:t>
                  </w:r>
                </w:p>
              </w:tc>
              <w:tc>
                <w:tcPr>
                  <w:tcW w:w="2500" w:type="pct"/>
                  <w:vAlign w:val="center"/>
                </w:tcPr>
                <w:p w14:paraId="30EF4157">
                  <w:pPr>
                    <w:autoSpaceDE w:val="0"/>
                    <w:autoSpaceDN w:val="0"/>
                    <w:adjustRightInd w:val="0"/>
                    <w:spacing w:line="360" w:lineRule="auto"/>
                    <w:jc w:val="center"/>
                    <w:rPr>
                      <w:rFonts w:hint="default" w:eastAsiaTheme="minorEastAsia"/>
                      <w:lang w:val="en-US" w:eastAsia="zh-CN"/>
                    </w:rPr>
                  </w:pPr>
                  <w:r>
                    <w:rPr>
                      <w:rFonts w:hint="eastAsia"/>
                      <w:lang w:val="en-US" w:eastAsia="zh-CN"/>
                    </w:rPr>
                    <w:t>危废间内部</w:t>
                  </w:r>
                </w:p>
              </w:tc>
            </w:tr>
            <w:tr w14:paraId="5A44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500" w:type="pct"/>
                  <w:vAlign w:val="center"/>
                </w:tcPr>
                <w:p w14:paraId="7AE61E54">
                  <w:pPr>
                    <w:autoSpaceDE w:val="0"/>
                    <w:autoSpaceDN w:val="0"/>
                    <w:adjustRightInd w:val="0"/>
                    <w:spacing w:line="360" w:lineRule="auto"/>
                    <w:jc w:val="center"/>
                  </w:pPr>
                  <w:r>
                    <w:drawing>
                      <wp:inline distT="0" distB="0" distL="114300" distR="114300">
                        <wp:extent cx="2252980" cy="1772285"/>
                        <wp:effectExtent l="0" t="0" r="13970" b="184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2252980" cy="1772285"/>
                                </a:xfrm>
                                <a:prstGeom prst="rect">
                                  <a:avLst/>
                                </a:prstGeom>
                                <a:noFill/>
                                <a:ln>
                                  <a:noFill/>
                                </a:ln>
                              </pic:spPr>
                            </pic:pic>
                          </a:graphicData>
                        </a:graphic>
                      </wp:inline>
                    </w:drawing>
                  </w:r>
                </w:p>
              </w:tc>
              <w:tc>
                <w:tcPr>
                  <w:tcW w:w="2500" w:type="pct"/>
                  <w:vAlign w:val="center"/>
                </w:tcPr>
                <w:p w14:paraId="7EBE9BBE">
                  <w:pPr>
                    <w:autoSpaceDE w:val="0"/>
                    <w:autoSpaceDN w:val="0"/>
                    <w:adjustRightInd w:val="0"/>
                    <w:spacing w:line="360" w:lineRule="auto"/>
                    <w:jc w:val="center"/>
                  </w:pPr>
                  <w:r>
                    <w:drawing>
                      <wp:inline distT="0" distB="0" distL="114300" distR="114300">
                        <wp:extent cx="2251075" cy="1905000"/>
                        <wp:effectExtent l="0" t="0" r="158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a:stretch>
                                  <a:fillRect/>
                                </a:stretch>
                              </pic:blipFill>
                              <pic:spPr>
                                <a:xfrm>
                                  <a:off x="0" y="0"/>
                                  <a:ext cx="2251075" cy="1905000"/>
                                </a:xfrm>
                                <a:prstGeom prst="rect">
                                  <a:avLst/>
                                </a:prstGeom>
                                <a:noFill/>
                                <a:ln>
                                  <a:noFill/>
                                </a:ln>
                              </pic:spPr>
                            </pic:pic>
                          </a:graphicData>
                        </a:graphic>
                      </wp:inline>
                    </w:drawing>
                  </w:r>
                </w:p>
              </w:tc>
            </w:tr>
            <w:tr w14:paraId="571F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500" w:type="pct"/>
                  <w:vAlign w:val="center"/>
                </w:tcPr>
                <w:p w14:paraId="50029292">
                  <w:pPr>
                    <w:autoSpaceDE w:val="0"/>
                    <w:autoSpaceDN w:val="0"/>
                    <w:adjustRightInd w:val="0"/>
                    <w:spacing w:line="360" w:lineRule="auto"/>
                    <w:jc w:val="center"/>
                    <w:rPr>
                      <w:rFonts w:hint="default" w:eastAsiaTheme="minorEastAsia"/>
                      <w:lang w:val="en-US" w:eastAsia="zh-CN"/>
                    </w:rPr>
                  </w:pPr>
                  <w:r>
                    <w:rPr>
                      <w:rFonts w:hint="eastAsia"/>
                      <w:lang w:val="en-US" w:eastAsia="zh-CN"/>
                    </w:rPr>
                    <w:t>集液沟、集液井</w:t>
                  </w:r>
                </w:p>
              </w:tc>
              <w:tc>
                <w:tcPr>
                  <w:tcW w:w="2500" w:type="pct"/>
                  <w:vAlign w:val="center"/>
                </w:tcPr>
                <w:p w14:paraId="5407C72C">
                  <w:pPr>
                    <w:autoSpaceDE w:val="0"/>
                    <w:autoSpaceDN w:val="0"/>
                    <w:adjustRightInd w:val="0"/>
                    <w:spacing w:line="360" w:lineRule="auto"/>
                    <w:jc w:val="center"/>
                    <w:rPr>
                      <w:rFonts w:hint="default" w:eastAsiaTheme="minorEastAsia"/>
                      <w:lang w:val="en-US" w:eastAsia="zh-CN"/>
                    </w:rPr>
                  </w:pPr>
                  <w:r>
                    <w:rPr>
                      <w:rFonts w:hint="eastAsia"/>
                      <w:lang w:val="en-US" w:eastAsia="zh-CN"/>
                    </w:rPr>
                    <w:t>可燃气体报警系统</w:t>
                  </w:r>
                </w:p>
              </w:tc>
            </w:tr>
          </w:tbl>
          <w:p w14:paraId="707B9AC1">
            <w:pPr>
              <w:spacing w:line="360" w:lineRule="auto"/>
              <w:ind w:firstLine="480" w:firstLineChars="200"/>
              <w:jc w:val="center"/>
              <w:outlineLvl w:val="0"/>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图3-1 本项目规范化示意图</w:t>
            </w:r>
          </w:p>
          <w:p w14:paraId="26B9203F">
            <w:pPr>
              <w:spacing w:line="360" w:lineRule="auto"/>
              <w:ind w:firstLine="480" w:firstLineChars="200"/>
              <w:jc w:val="left"/>
              <w:outlineLvl w:val="0"/>
              <w:rPr>
                <w:rFonts w:ascii="Times New Roman" w:hAnsi="Times New Roman" w:cs="Times New Roman"/>
                <w:sz w:val="24"/>
                <w:szCs w:val="24"/>
                <w:highlight w:val="none"/>
              </w:rPr>
            </w:pPr>
            <w:r>
              <w:rPr>
                <w:rFonts w:ascii="Times New Roman" w:hAnsi="Times New Roman" w:cs="Times New Roman"/>
                <w:sz w:val="24"/>
                <w:szCs w:val="24"/>
                <w:highlight w:val="none"/>
              </w:rPr>
              <w:t>3.</w:t>
            </w:r>
            <w:r>
              <w:rPr>
                <w:rFonts w:hint="eastAsia" w:ascii="Times New Roman" w:hAnsi="Times New Roman" w:cs="Times New Roman"/>
                <w:sz w:val="24"/>
                <w:szCs w:val="24"/>
                <w:highlight w:val="none"/>
              </w:rPr>
              <w:t>6</w:t>
            </w:r>
            <w:r>
              <w:rPr>
                <w:rFonts w:ascii="Times New Roman" w:hAnsi="Times New Roman" w:cs="Times New Roman"/>
                <w:sz w:val="24"/>
                <w:szCs w:val="24"/>
                <w:highlight w:val="none"/>
              </w:rPr>
              <w:t>环保投资落实情况</w:t>
            </w:r>
            <w:bookmarkEnd w:id="22"/>
          </w:p>
          <w:p w14:paraId="2B33D4CF">
            <w:pPr>
              <w:widowControl/>
              <w:spacing w:line="360" w:lineRule="auto"/>
              <w:ind w:firstLine="570"/>
              <w:jc w:val="left"/>
              <w:rPr>
                <w:rFonts w:ascii="Times New Roman" w:hAnsi="Times New Roman" w:cs="Times New Roman"/>
                <w:sz w:val="24"/>
                <w:szCs w:val="24"/>
              </w:rPr>
            </w:pPr>
            <w:r>
              <w:rPr>
                <w:rFonts w:hint="eastAsia" w:ascii="Times New Roman" w:hAnsi="Times New Roman" w:cs="Times New Roman"/>
                <w:sz w:val="24"/>
                <w:szCs w:val="24"/>
              </w:rPr>
              <w:t>本项目环评中总投资为</w:t>
            </w:r>
            <w:r>
              <w:rPr>
                <w:rFonts w:hint="eastAsia" w:ascii="Times New Roman" w:hAnsi="Times New Roman" w:cs="Times New Roman"/>
                <w:sz w:val="24"/>
                <w:szCs w:val="24"/>
                <w:lang w:val="en-US" w:eastAsia="zh-CN"/>
              </w:rPr>
              <w:t>2500</w:t>
            </w:r>
            <w:r>
              <w:rPr>
                <w:rFonts w:hint="eastAsia" w:ascii="Times New Roman" w:hAnsi="Times New Roman" w:cs="Times New Roman"/>
                <w:sz w:val="24"/>
                <w:szCs w:val="24"/>
              </w:rPr>
              <w:t>万元，环保投资总额为</w:t>
            </w:r>
            <w:r>
              <w:rPr>
                <w:rFonts w:hint="eastAsia" w:ascii="Times New Roman" w:hAnsi="Times New Roman" w:cs="Times New Roman"/>
                <w:sz w:val="24"/>
                <w:szCs w:val="24"/>
                <w:lang w:val="en-US" w:eastAsia="zh-CN"/>
              </w:rPr>
              <w:t>30</w:t>
            </w:r>
            <w:r>
              <w:rPr>
                <w:rFonts w:hint="eastAsia" w:ascii="Times New Roman" w:hAnsi="Times New Roman" w:cs="Times New Roman"/>
                <w:sz w:val="24"/>
                <w:szCs w:val="24"/>
              </w:rPr>
              <w:t>万元，占总投资的</w:t>
            </w:r>
            <w:r>
              <w:rPr>
                <w:rFonts w:hint="eastAsia" w:ascii="Times New Roman" w:hAnsi="Times New Roman" w:cs="Times New Roman"/>
                <w:sz w:val="24"/>
                <w:szCs w:val="24"/>
                <w:lang w:val="en-US" w:eastAsia="zh-CN"/>
              </w:rPr>
              <w:t>1.2</w:t>
            </w:r>
            <w:r>
              <w:rPr>
                <w:rFonts w:hint="eastAsia" w:ascii="Times New Roman" w:hAnsi="Times New Roman" w:cs="Times New Roman"/>
                <w:sz w:val="24"/>
                <w:szCs w:val="24"/>
              </w:rPr>
              <w:t>%。</w:t>
            </w:r>
            <w:r>
              <w:rPr>
                <w:rFonts w:hint="eastAsia" w:ascii="Times New Roman" w:hAnsi="Times New Roman" w:cs="Times New Roman"/>
                <w:sz w:val="24"/>
                <w:szCs w:val="24"/>
                <w:highlight w:val="none"/>
              </w:rPr>
              <w:t>实际总投资</w:t>
            </w:r>
            <w:r>
              <w:rPr>
                <w:rFonts w:hint="eastAsia" w:ascii="Times New Roman" w:hAnsi="Times New Roman" w:cs="Times New Roman"/>
                <w:sz w:val="24"/>
                <w:szCs w:val="24"/>
                <w:highlight w:val="none"/>
                <w:lang w:val="en-US" w:eastAsia="zh-CN"/>
              </w:rPr>
              <w:t>2000</w:t>
            </w:r>
            <w:r>
              <w:rPr>
                <w:rFonts w:hint="eastAsia" w:ascii="Times New Roman" w:hAnsi="Times New Roman" w:cs="Times New Roman"/>
                <w:sz w:val="24"/>
                <w:szCs w:val="24"/>
                <w:highlight w:val="none"/>
              </w:rPr>
              <w:t>万元，其中环保投资为</w:t>
            </w:r>
            <w:r>
              <w:rPr>
                <w:rFonts w:hint="eastAsia" w:ascii="Times New Roman" w:hAnsi="Times New Roman" w:cs="Times New Roman"/>
                <w:sz w:val="24"/>
                <w:szCs w:val="24"/>
                <w:highlight w:val="none"/>
                <w:lang w:val="en-US" w:eastAsia="zh-CN"/>
              </w:rPr>
              <w:t xml:space="preserve">31 </w:t>
            </w:r>
            <w:r>
              <w:rPr>
                <w:rFonts w:hint="eastAsia" w:ascii="Times New Roman" w:hAnsi="Times New Roman" w:cs="Times New Roman"/>
                <w:sz w:val="24"/>
                <w:szCs w:val="24"/>
                <w:highlight w:val="none"/>
              </w:rPr>
              <w:t>万元。实际环保投资占实际总投资比例的</w:t>
            </w:r>
            <w:r>
              <w:rPr>
                <w:rFonts w:hint="eastAsia" w:ascii="Times New Roman" w:hAnsi="Times New Roman" w:cs="Times New Roman"/>
                <w:sz w:val="24"/>
                <w:szCs w:val="24"/>
                <w:highlight w:val="none"/>
                <w:lang w:val="en-US" w:eastAsia="zh-CN"/>
              </w:rPr>
              <w:t>1.55</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w:t>
            </w:r>
            <w:r>
              <w:rPr>
                <w:rFonts w:ascii="Times New Roman" w:hAnsi="Times New Roman" w:cs="Times New Roman"/>
                <w:sz w:val="24"/>
                <w:szCs w:val="24"/>
              </w:rPr>
              <w:t>本</w:t>
            </w:r>
            <w:r>
              <w:rPr>
                <w:rFonts w:hint="eastAsia" w:ascii="Times New Roman" w:hAnsi="Times New Roman" w:cs="Times New Roman"/>
                <w:sz w:val="24"/>
                <w:szCs w:val="24"/>
              </w:rPr>
              <w:t>项目</w:t>
            </w:r>
            <w:r>
              <w:rPr>
                <w:rFonts w:ascii="Times New Roman" w:hAnsi="Times New Roman" w:cs="Times New Roman"/>
                <w:sz w:val="24"/>
                <w:szCs w:val="24"/>
              </w:rPr>
              <w:t>环保投资明细见下表。</w:t>
            </w:r>
          </w:p>
          <w:p w14:paraId="7FA60374">
            <w:pPr>
              <w:widowControl/>
              <w:spacing w:line="360" w:lineRule="auto"/>
              <w:ind w:firstLine="570"/>
              <w:jc w:val="center"/>
              <w:rPr>
                <w:rFonts w:ascii="Times New Roman" w:hAnsi="Times New Roman" w:cs="Times New Roman"/>
                <w:sz w:val="24"/>
                <w:szCs w:val="24"/>
              </w:rPr>
            </w:pPr>
            <w:bookmarkStart w:id="23" w:name="_Toc321328067"/>
            <w:bookmarkStart w:id="24" w:name="_Toc306803638"/>
            <w:bookmarkStart w:id="25" w:name="_Toc112582516"/>
            <w:r>
              <w:rPr>
                <w:rFonts w:ascii="Times New Roman" w:hAnsi="Times New Roman" w:cs="Times New Roman"/>
                <w:sz w:val="24"/>
                <w:szCs w:val="24"/>
              </w:rPr>
              <w:t>表3-1    实际环保投资</w:t>
            </w:r>
            <w:bookmarkEnd w:id="23"/>
            <w:bookmarkEnd w:id="24"/>
            <w:bookmarkEnd w:id="25"/>
          </w:p>
          <w:tbl>
            <w:tblPr>
              <w:tblStyle w:val="19"/>
              <w:tblW w:w="47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292"/>
              <w:gridCol w:w="993"/>
              <w:gridCol w:w="991"/>
              <w:gridCol w:w="4706"/>
            </w:tblGrid>
            <w:tr w14:paraId="53DA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0" w:type="pct"/>
                  <w:shd w:val="clear" w:color="auto" w:fill="auto"/>
                  <w:vAlign w:val="center"/>
                </w:tcPr>
                <w:p w14:paraId="60988BD6">
                  <w:pPr>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770" w:type="pct"/>
                  <w:shd w:val="clear" w:color="auto" w:fill="auto"/>
                  <w:vAlign w:val="center"/>
                </w:tcPr>
                <w:p w14:paraId="4079B88D">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592" w:type="pct"/>
                  <w:shd w:val="clear" w:color="auto" w:fill="auto"/>
                  <w:vAlign w:val="center"/>
                </w:tcPr>
                <w:p w14:paraId="77102DD4">
                  <w:pPr>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环评预计投资（万元）</w:t>
                  </w:r>
                </w:p>
              </w:tc>
              <w:tc>
                <w:tcPr>
                  <w:tcW w:w="590" w:type="pct"/>
                </w:tcPr>
                <w:p w14:paraId="7F23241C">
                  <w:pPr>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实际投资（万元）</w:t>
                  </w:r>
                </w:p>
              </w:tc>
              <w:tc>
                <w:tcPr>
                  <w:tcW w:w="2805" w:type="pct"/>
                  <w:vAlign w:val="center"/>
                </w:tcPr>
                <w:p w14:paraId="6660BAD0">
                  <w:pPr>
                    <w:jc w:val="center"/>
                    <w:rPr>
                      <w:rFonts w:hint="default" w:ascii="Times New Roman" w:hAnsi="Times New Roman" w:cs="Times New Roman"/>
                      <w:sz w:val="21"/>
                      <w:szCs w:val="21"/>
                    </w:rPr>
                  </w:pPr>
                  <w:r>
                    <w:rPr>
                      <w:rFonts w:hint="default" w:ascii="Times New Roman" w:hAnsi="Times New Roman" w:cs="Times New Roman"/>
                      <w:sz w:val="21"/>
                      <w:szCs w:val="21"/>
                    </w:rPr>
                    <w:t>备注</w:t>
                  </w:r>
                </w:p>
              </w:tc>
            </w:tr>
            <w:tr w14:paraId="3C1F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 w:type="pct"/>
                  <w:shd w:val="clear" w:color="auto" w:fill="auto"/>
                  <w:vAlign w:val="center"/>
                </w:tcPr>
                <w:p w14:paraId="5849FFB3">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770" w:type="pct"/>
                  <w:shd w:val="clear" w:color="auto" w:fill="auto"/>
                  <w:vAlign w:val="center"/>
                </w:tcPr>
                <w:p w14:paraId="183F4E2A">
                  <w:pPr>
                    <w:jc w:val="center"/>
                    <w:outlineLvl w:val="2"/>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施工期治理措施</w:t>
                  </w:r>
                </w:p>
              </w:tc>
              <w:tc>
                <w:tcPr>
                  <w:tcW w:w="993" w:type="dxa"/>
                  <w:shd w:val="clear" w:color="auto" w:fill="auto"/>
                  <w:vAlign w:val="center"/>
                </w:tcPr>
                <w:p w14:paraId="1A7A1BDB">
                  <w:pPr>
                    <w:jc w:val="center"/>
                    <w:outlineLvl w:val="2"/>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5</w:t>
                  </w:r>
                </w:p>
              </w:tc>
              <w:tc>
                <w:tcPr>
                  <w:tcW w:w="991" w:type="dxa"/>
                  <w:vAlign w:val="center"/>
                </w:tcPr>
                <w:p w14:paraId="77B07E36">
                  <w:pPr>
                    <w:jc w:val="center"/>
                    <w:outlineLvl w:val="2"/>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5</w:t>
                  </w:r>
                </w:p>
              </w:tc>
              <w:tc>
                <w:tcPr>
                  <w:tcW w:w="4706" w:type="dxa"/>
                  <w:vAlign w:val="center"/>
                </w:tcPr>
                <w:p w14:paraId="5B63A4DC">
                  <w:pPr>
                    <w:jc w:val="center"/>
                    <w:outlineLvl w:val="2"/>
                    <w:rPr>
                      <w:rFonts w:hint="default" w:ascii="Times New Roman" w:hAnsi="Times New Roman" w:cs="Times New Roman"/>
                      <w:sz w:val="21"/>
                      <w:szCs w:val="21"/>
                    </w:rPr>
                  </w:pPr>
                  <w:r>
                    <w:rPr>
                      <w:rFonts w:hint="default" w:ascii="Times New Roman" w:hAnsi="Times New Roman" w:cs="Times New Roman"/>
                      <w:sz w:val="21"/>
                      <w:szCs w:val="21"/>
                    </w:rPr>
                    <w:t>施工期废气、噪声、固废、环境管理等措施</w:t>
                  </w:r>
                </w:p>
              </w:tc>
            </w:tr>
            <w:tr w14:paraId="1574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 w:type="pct"/>
                  <w:shd w:val="clear" w:color="auto" w:fill="auto"/>
                  <w:vAlign w:val="center"/>
                </w:tcPr>
                <w:p w14:paraId="5117821D">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770" w:type="pct"/>
                  <w:shd w:val="clear" w:color="auto" w:fill="auto"/>
                  <w:vAlign w:val="center"/>
                </w:tcPr>
                <w:p w14:paraId="01F26293">
                  <w:pPr>
                    <w:jc w:val="center"/>
                    <w:outlineLvl w:val="2"/>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噪声治理措施</w:t>
                  </w:r>
                </w:p>
              </w:tc>
              <w:tc>
                <w:tcPr>
                  <w:tcW w:w="993" w:type="dxa"/>
                  <w:shd w:val="clear" w:color="auto" w:fill="auto"/>
                  <w:vAlign w:val="center"/>
                </w:tcPr>
                <w:p w14:paraId="03CB5546">
                  <w:pPr>
                    <w:jc w:val="center"/>
                    <w:outlineLvl w:val="2"/>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5</w:t>
                  </w:r>
                </w:p>
              </w:tc>
              <w:tc>
                <w:tcPr>
                  <w:tcW w:w="991" w:type="dxa"/>
                  <w:vAlign w:val="center"/>
                </w:tcPr>
                <w:p w14:paraId="439711FB">
                  <w:pPr>
                    <w:jc w:val="center"/>
                    <w:outlineLvl w:val="2"/>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5</w:t>
                  </w:r>
                </w:p>
              </w:tc>
              <w:tc>
                <w:tcPr>
                  <w:tcW w:w="4706" w:type="dxa"/>
                  <w:vAlign w:val="center"/>
                </w:tcPr>
                <w:p w14:paraId="2911CB47">
                  <w:pPr>
                    <w:jc w:val="center"/>
                    <w:outlineLvl w:val="2"/>
                    <w:rPr>
                      <w:rFonts w:hint="default" w:ascii="Times New Roman" w:hAnsi="Times New Roman" w:cs="Times New Roman"/>
                      <w:sz w:val="21"/>
                      <w:szCs w:val="21"/>
                    </w:rPr>
                  </w:pPr>
                  <w:r>
                    <w:rPr>
                      <w:rFonts w:hint="default" w:ascii="Times New Roman" w:hAnsi="Times New Roman" w:cs="Times New Roman"/>
                      <w:kern w:val="0"/>
                      <w:sz w:val="21"/>
                      <w:szCs w:val="21"/>
                    </w:rPr>
                    <w:t>选用低噪声设备、设置减振基础、采用软连接等</w:t>
                  </w:r>
                </w:p>
              </w:tc>
            </w:tr>
            <w:tr w14:paraId="40BE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 w:type="pct"/>
                  <w:shd w:val="clear" w:color="auto" w:fill="auto"/>
                  <w:vAlign w:val="center"/>
                </w:tcPr>
                <w:p w14:paraId="4F133930">
                  <w:pPr>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770" w:type="pct"/>
                  <w:shd w:val="clear" w:color="auto" w:fill="auto"/>
                  <w:vAlign w:val="center"/>
                </w:tcPr>
                <w:p w14:paraId="5706E4DA">
                  <w:pPr>
                    <w:jc w:val="center"/>
                    <w:outlineLvl w:val="2"/>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风险防范措施</w:t>
                  </w:r>
                </w:p>
              </w:tc>
              <w:tc>
                <w:tcPr>
                  <w:tcW w:w="993" w:type="dxa"/>
                  <w:shd w:val="clear" w:color="auto" w:fill="auto"/>
                  <w:vAlign w:val="center"/>
                </w:tcPr>
                <w:p w14:paraId="2EEAB97A">
                  <w:pPr>
                    <w:jc w:val="center"/>
                    <w:outlineLvl w:val="2"/>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20</w:t>
                  </w:r>
                </w:p>
              </w:tc>
              <w:tc>
                <w:tcPr>
                  <w:tcW w:w="991" w:type="dxa"/>
                  <w:vAlign w:val="center"/>
                </w:tcPr>
                <w:p w14:paraId="3160E44F">
                  <w:pPr>
                    <w:jc w:val="center"/>
                    <w:outlineLvl w:val="2"/>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20</w:t>
                  </w:r>
                </w:p>
              </w:tc>
              <w:tc>
                <w:tcPr>
                  <w:tcW w:w="4706" w:type="dxa"/>
                  <w:vAlign w:val="center"/>
                </w:tcPr>
                <w:p w14:paraId="72646758">
                  <w:pPr>
                    <w:jc w:val="center"/>
                    <w:outlineLvl w:val="2"/>
                    <w:rPr>
                      <w:rFonts w:hint="default" w:ascii="Times New Roman" w:hAnsi="Times New Roman" w:cs="Times New Roman"/>
                      <w:sz w:val="21"/>
                      <w:szCs w:val="21"/>
                    </w:rPr>
                  </w:pPr>
                  <w:r>
                    <w:rPr>
                      <w:rFonts w:hint="default" w:ascii="Times New Roman" w:hAnsi="Times New Roman" w:cs="Times New Roman"/>
                      <w:sz w:val="21"/>
                      <w:szCs w:val="21"/>
                    </w:rPr>
                    <w:t>化学品库设置有集液沟、集液井，地面防渗、可燃气体报警器、及烟感探测器及事故监控系统等</w:t>
                  </w:r>
                </w:p>
              </w:tc>
            </w:tr>
            <w:tr w14:paraId="474C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1" w:type="pct"/>
                  <w:gridSpan w:val="2"/>
                  <w:shd w:val="clear" w:color="auto" w:fill="auto"/>
                  <w:vAlign w:val="center"/>
                </w:tcPr>
                <w:p w14:paraId="672FC746">
                  <w:pPr>
                    <w:jc w:val="center"/>
                    <w:rPr>
                      <w:rFonts w:hint="default" w:ascii="Times New Roman" w:hAnsi="Times New Roman" w:cs="Times New Roman"/>
                      <w:sz w:val="21"/>
                      <w:szCs w:val="21"/>
                    </w:rPr>
                  </w:pPr>
                  <w:r>
                    <w:rPr>
                      <w:rFonts w:hint="default" w:ascii="Times New Roman" w:hAnsi="Times New Roman" w:cs="Times New Roman"/>
                      <w:sz w:val="21"/>
                      <w:szCs w:val="21"/>
                    </w:rPr>
                    <w:t>总计</w:t>
                  </w:r>
                </w:p>
              </w:tc>
              <w:tc>
                <w:tcPr>
                  <w:tcW w:w="592" w:type="pct"/>
                  <w:shd w:val="clear" w:color="auto" w:fill="auto"/>
                  <w:vAlign w:val="center"/>
                </w:tcPr>
                <w:p w14:paraId="7C9CF191">
                  <w:pPr>
                    <w:jc w:val="center"/>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sz w:val="21"/>
                      <w:szCs w:val="21"/>
                      <w:highlight w:val="none"/>
                      <w:lang w:val="en-US" w:eastAsia="zh-CN"/>
                    </w:rPr>
                    <w:t>30</w:t>
                  </w:r>
                </w:p>
              </w:tc>
              <w:tc>
                <w:tcPr>
                  <w:tcW w:w="590" w:type="pct"/>
                </w:tcPr>
                <w:p w14:paraId="2601FE7F">
                  <w:pPr>
                    <w:jc w:val="center"/>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sz w:val="21"/>
                      <w:szCs w:val="21"/>
                      <w:highlight w:val="none"/>
                      <w:lang w:val="en-US" w:eastAsia="zh-CN"/>
                    </w:rPr>
                    <w:t>31</w:t>
                  </w:r>
                </w:p>
              </w:tc>
              <w:tc>
                <w:tcPr>
                  <w:tcW w:w="2805" w:type="pct"/>
                  <w:vAlign w:val="center"/>
                </w:tcPr>
                <w:p w14:paraId="4BEAD8A9">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bl>
          <w:p w14:paraId="5AE952B7">
            <w:pPr>
              <w:widowControl/>
              <w:spacing w:line="360" w:lineRule="auto"/>
              <w:ind w:firstLine="570"/>
              <w:jc w:val="left"/>
              <w:rPr>
                <w:rFonts w:ascii="Times New Roman" w:hAnsi="Times New Roman" w:cs="Times New Roman"/>
                <w:sz w:val="24"/>
                <w:szCs w:val="24"/>
              </w:rPr>
            </w:pPr>
            <w:bookmarkStart w:id="26" w:name="_Toc112582517"/>
            <w:r>
              <w:rPr>
                <w:rFonts w:ascii="Times New Roman" w:hAnsi="Times New Roman" w:cs="Times New Roman"/>
                <w:sz w:val="24"/>
                <w:szCs w:val="24"/>
              </w:rPr>
              <w:t>本项目实际</w:t>
            </w:r>
            <w:r>
              <w:rPr>
                <w:rFonts w:hint="eastAsia" w:ascii="Times New Roman" w:hAnsi="Times New Roman" w:cs="Times New Roman"/>
                <w:sz w:val="24"/>
                <w:szCs w:val="24"/>
              </w:rPr>
              <w:t>总投资</w:t>
            </w:r>
            <w:r>
              <w:rPr>
                <w:rFonts w:hint="eastAsia" w:ascii="Times New Roman" w:hAnsi="Times New Roman" w:cs="Times New Roman"/>
                <w:sz w:val="24"/>
                <w:szCs w:val="24"/>
                <w:lang w:val="en-US" w:eastAsia="zh-CN"/>
              </w:rPr>
              <w:t>较环保减少，环保投资较环评增加</w:t>
            </w:r>
            <w:r>
              <w:rPr>
                <w:rFonts w:ascii="Times New Roman" w:hAnsi="Times New Roman" w:cs="Times New Roman"/>
                <w:sz w:val="24"/>
                <w:szCs w:val="24"/>
              </w:rPr>
              <w:t>。</w:t>
            </w:r>
            <w:bookmarkEnd w:id="26"/>
          </w:p>
          <w:p w14:paraId="34E8EDDB">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3.7企业排污许可执行情况</w:t>
            </w:r>
          </w:p>
          <w:p w14:paraId="72FF15F3">
            <w:pPr>
              <w:spacing w:line="360" w:lineRule="auto"/>
              <w:ind w:firstLine="480" w:firstLineChars="200"/>
              <w:rPr>
                <w:rFonts w:hint="default" w:ascii="Times New Roman" w:hAnsi="Times New Roman" w:cs="Times New Roman"/>
                <w:sz w:val="24"/>
                <w:szCs w:val="24"/>
                <w:highlight w:val="yellow"/>
              </w:rPr>
            </w:pPr>
            <w:r>
              <w:rPr>
                <w:rFonts w:hint="default" w:ascii="Times New Roman" w:hAnsi="Times New Roman" w:cs="Times New Roman"/>
                <w:sz w:val="24"/>
                <w:szCs w:val="24"/>
                <w:highlight w:val="none"/>
              </w:rPr>
              <w:t>对照《固定污染源排污许可分类管理名录（2019年版）》（生态环境部令第11号），建设单位属于</w:t>
            </w:r>
            <w:r>
              <w:rPr>
                <w:rFonts w:hint="eastAsia" w:ascii="Times New Roman" w:hAnsi="Times New Roman" w:cs="Times New Roman"/>
                <w:sz w:val="24"/>
                <w:szCs w:val="24"/>
                <w:highlight w:val="none"/>
              </w:rPr>
              <w:t>二十二、</w:t>
            </w:r>
            <w:r>
              <w:rPr>
                <w:rFonts w:ascii="Times New Roman" w:hAnsi="Times New Roman" w:cs="Times New Roman"/>
                <w:sz w:val="24"/>
                <w:szCs w:val="24"/>
                <w:highlight w:val="none"/>
              </w:rPr>
              <w:t>医药制造业</w:t>
            </w:r>
            <w:r>
              <w:rPr>
                <w:rFonts w:hint="eastAsia" w:ascii="Times New Roman" w:hAnsi="Times New Roman" w:cs="Times New Roman"/>
                <w:sz w:val="24"/>
                <w:szCs w:val="24"/>
                <w:highlight w:val="none"/>
              </w:rPr>
              <w:t>27”中的“5</w:t>
            </w:r>
            <w:r>
              <w:rPr>
                <w:rFonts w:ascii="Times New Roman" w:hAnsi="Times New Roman" w:cs="Times New Roman"/>
                <w:sz w:val="24"/>
                <w:szCs w:val="24"/>
                <w:highlight w:val="none"/>
              </w:rPr>
              <w:t>8</w:t>
            </w:r>
            <w:r>
              <w:rPr>
                <w:rFonts w:hint="eastAsia" w:ascii="Times New Roman" w:hAnsi="Times New Roman" w:cs="Times New Roman"/>
                <w:sz w:val="24"/>
                <w:szCs w:val="24"/>
                <w:highlight w:val="none"/>
              </w:rPr>
              <w:t>、生物</w:t>
            </w:r>
            <w:r>
              <w:rPr>
                <w:rFonts w:ascii="Times New Roman" w:hAnsi="Times New Roman" w:cs="Times New Roman"/>
                <w:sz w:val="24"/>
                <w:szCs w:val="24"/>
                <w:highlight w:val="none"/>
              </w:rPr>
              <w:t>药品制品制造</w:t>
            </w:r>
            <w:r>
              <w:rPr>
                <w:rFonts w:hint="eastAsia" w:ascii="Times New Roman" w:hAnsi="Times New Roman" w:cs="Times New Roman"/>
                <w:sz w:val="24"/>
                <w:szCs w:val="24"/>
                <w:highlight w:val="none"/>
              </w:rPr>
              <w:t>276-单纯</w:t>
            </w:r>
            <w:r>
              <w:rPr>
                <w:rFonts w:ascii="Times New Roman" w:hAnsi="Times New Roman" w:cs="Times New Roman"/>
                <w:sz w:val="24"/>
                <w:szCs w:val="24"/>
                <w:highlight w:val="none"/>
              </w:rPr>
              <w:t>混合或分装的</w:t>
            </w:r>
            <w:r>
              <w:rPr>
                <w:rFonts w:hint="default" w:ascii="Times New Roman" w:hAnsi="Times New Roman" w:cs="Times New Roman"/>
                <w:sz w:val="24"/>
                <w:szCs w:val="24"/>
                <w:highlight w:val="none"/>
              </w:rPr>
              <w:t>，为</w:t>
            </w:r>
            <w:r>
              <w:rPr>
                <w:rFonts w:hint="eastAsia" w:ascii="Times New Roman" w:hAnsi="Times New Roman" w:cs="Times New Roman"/>
                <w:sz w:val="24"/>
                <w:szCs w:val="24"/>
                <w:highlight w:val="none"/>
                <w:lang w:val="en-US" w:eastAsia="zh-CN"/>
              </w:rPr>
              <w:t>登记</w:t>
            </w:r>
            <w:r>
              <w:rPr>
                <w:rFonts w:hint="default" w:ascii="Times New Roman" w:hAnsi="Times New Roman" w:cs="Times New Roman"/>
                <w:sz w:val="24"/>
                <w:szCs w:val="24"/>
                <w:highlight w:val="none"/>
              </w:rPr>
              <w:t>管理，企业已于202</w:t>
            </w:r>
            <w:r>
              <w:rPr>
                <w:rFonts w:hint="eastAsia" w:ascii="Times New Roman" w:hAnsi="Times New Roman" w:cs="Times New Roman"/>
                <w:sz w:val="24"/>
                <w:szCs w:val="24"/>
                <w:highlight w:val="none"/>
                <w:lang w:val="en-US" w:eastAsia="zh-CN"/>
              </w:rPr>
              <w:t>5</w:t>
            </w:r>
            <w:r>
              <w:rPr>
                <w:rFonts w:hint="default" w:ascii="Times New Roman" w:hAnsi="Times New Roman" w:cs="Times New Roman"/>
                <w:sz w:val="24"/>
                <w:szCs w:val="24"/>
                <w:highlight w:val="none"/>
              </w:rPr>
              <w:t>年</w:t>
            </w:r>
            <w:r>
              <w:rPr>
                <w:rFonts w:hint="eastAsia" w:ascii="Times New Roman" w:hAnsi="Times New Roman" w:cs="Times New Roman"/>
                <w:sz w:val="24"/>
                <w:szCs w:val="24"/>
                <w:highlight w:val="none"/>
                <w:lang w:val="en-US" w:eastAsia="zh-CN"/>
              </w:rPr>
              <w:t>5</w:t>
            </w:r>
            <w:r>
              <w:rPr>
                <w:rFonts w:hint="default" w:ascii="Times New Roman" w:hAnsi="Times New Roman" w:cs="Times New Roman"/>
                <w:sz w:val="24"/>
                <w:szCs w:val="24"/>
                <w:highlight w:val="none"/>
              </w:rPr>
              <w:t>月针对本项目</w:t>
            </w:r>
            <w:r>
              <w:rPr>
                <w:rFonts w:hint="eastAsia" w:ascii="Times New Roman" w:hAnsi="Times New Roman" w:cs="Times New Roman"/>
                <w:sz w:val="24"/>
                <w:szCs w:val="24"/>
                <w:highlight w:val="none"/>
                <w:lang w:val="en-US" w:eastAsia="zh-CN"/>
              </w:rPr>
              <w:t>进行了变更登记</w:t>
            </w:r>
            <w:r>
              <w:rPr>
                <w:rFonts w:hint="default"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登记号</w:t>
            </w:r>
            <w:r>
              <w:rPr>
                <w:rFonts w:hint="default" w:ascii="Times New Roman" w:hAnsi="Times New Roman" w:cs="Times New Roman"/>
                <w:sz w:val="24"/>
                <w:szCs w:val="24"/>
                <w:highlight w:val="none"/>
              </w:rPr>
              <w:t>为：</w:t>
            </w:r>
            <w:r>
              <w:rPr>
                <w:rFonts w:hint="eastAsia" w:ascii="Times New Roman" w:hAnsi="Times New Roman" w:cs="Times New Roman"/>
                <w:sz w:val="24"/>
                <w:szCs w:val="24"/>
                <w:highlight w:val="none"/>
              </w:rPr>
              <w:t>91120116600537733W001Z</w:t>
            </w:r>
            <w:r>
              <w:rPr>
                <w:rFonts w:hint="default" w:ascii="Times New Roman" w:hAnsi="Times New Roman" w:cs="Times New Roman"/>
                <w:sz w:val="24"/>
                <w:szCs w:val="24"/>
                <w:highlight w:val="none"/>
              </w:rPr>
              <w:t>。</w:t>
            </w:r>
          </w:p>
          <w:p w14:paraId="707D9DC7">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3.</w:t>
            </w:r>
            <w:r>
              <w:rPr>
                <w:rFonts w:hint="eastAsia" w:ascii="Times New Roman" w:hAnsi="Times New Roman" w:cs="Times New Roman"/>
                <w:sz w:val="24"/>
                <w:szCs w:val="24"/>
                <w:highlight w:val="none"/>
              </w:rPr>
              <w:t>8</w:t>
            </w:r>
            <w:r>
              <w:rPr>
                <w:rFonts w:ascii="Times New Roman" w:hAnsi="Times New Roman" w:cs="Times New Roman"/>
                <w:sz w:val="24"/>
                <w:szCs w:val="24"/>
                <w:highlight w:val="none"/>
              </w:rPr>
              <w:t>风险防范</w:t>
            </w:r>
            <w:r>
              <w:rPr>
                <w:rFonts w:hint="eastAsia" w:ascii="Times New Roman" w:hAnsi="Times New Roman" w:cs="Times New Roman"/>
                <w:sz w:val="24"/>
                <w:szCs w:val="24"/>
                <w:highlight w:val="none"/>
                <w:lang w:val="en-US" w:eastAsia="zh-CN"/>
              </w:rPr>
              <w:t>应急</w:t>
            </w:r>
            <w:r>
              <w:rPr>
                <w:rFonts w:ascii="Times New Roman" w:hAnsi="Times New Roman" w:cs="Times New Roman"/>
                <w:sz w:val="24"/>
                <w:szCs w:val="24"/>
                <w:highlight w:val="none"/>
              </w:rPr>
              <w:t>措施落实情况</w:t>
            </w:r>
          </w:p>
          <w:p w14:paraId="0F20595E">
            <w:pPr>
              <w:spacing w:line="360" w:lineRule="auto"/>
              <w:ind w:firstLine="482" w:firstLineChars="200"/>
              <w:rPr>
                <w:rFonts w:ascii="Times New Roman" w:hAnsi="Times New Roman" w:cs="Times New Roman"/>
                <w:sz w:val="24"/>
                <w:szCs w:val="24"/>
                <w:highlight w:val="none"/>
              </w:rPr>
            </w:pPr>
            <w:r>
              <w:rPr>
                <w:rFonts w:ascii="Times New Roman" w:hAnsi="Times New Roman" w:cs="Times New Roman"/>
                <w:b/>
                <w:bCs/>
                <w:sz w:val="24"/>
                <w:szCs w:val="24"/>
                <w:highlight w:val="none"/>
              </w:rPr>
              <w:t>厂区已采取的风险防范措施</w:t>
            </w:r>
            <w:r>
              <w:rPr>
                <w:rFonts w:ascii="Times New Roman" w:hAnsi="Times New Roman" w:cs="Times New Roman"/>
                <w:sz w:val="24"/>
                <w:szCs w:val="24"/>
                <w:highlight w:val="none"/>
              </w:rPr>
              <w:t>：</w:t>
            </w:r>
          </w:p>
          <w:p w14:paraId="3431F417">
            <w:pPr>
              <w:pStyle w:val="9"/>
              <w:numPr>
                <w:ilvl w:val="0"/>
                <w:numId w:val="2"/>
              </w:numPr>
              <w:rPr>
                <w:rFonts w:hint="default" w:ascii="Times New Roman" w:hAnsi="Times New Roman" w:cs="Times New Roman"/>
              </w:rPr>
            </w:pPr>
            <w:r>
              <w:rPr>
                <w:rFonts w:hint="default" w:ascii="Times New Roman" w:hAnsi="Times New Roman" w:cs="Times New Roman"/>
              </w:rPr>
              <w:t>采购正规厂家具有完好密闭包装的化学品，入场前检查其包装完好情况。</w:t>
            </w:r>
          </w:p>
          <w:p w14:paraId="30215661">
            <w:pPr>
              <w:pStyle w:val="9"/>
              <w:numPr>
                <w:ilvl w:val="0"/>
                <w:numId w:val="2"/>
              </w:numPr>
              <w:rPr>
                <w:rFonts w:hint="default" w:ascii="Times New Roman" w:hAnsi="Times New Roman" w:cs="Times New Roman"/>
              </w:rPr>
            </w:pPr>
            <w:r>
              <w:rPr>
                <w:rFonts w:hint="default" w:ascii="Times New Roman" w:hAnsi="Times New Roman" w:cs="Times New Roman"/>
              </w:rPr>
              <w:t>制定操作规程，在运转管理说明中明确操作规则，规范职工的操作行为，文明作业，装卸过程轻拿轻放，防范事故的发生。</w:t>
            </w:r>
          </w:p>
          <w:p w14:paraId="50190849">
            <w:pPr>
              <w:pStyle w:val="9"/>
              <w:numPr>
                <w:ilvl w:val="0"/>
                <w:numId w:val="2"/>
              </w:numPr>
              <w:rPr>
                <w:rFonts w:hint="default" w:ascii="Times New Roman" w:hAnsi="Times New Roman" w:cs="Times New Roman"/>
              </w:rPr>
            </w:pPr>
            <w:r>
              <w:rPr>
                <w:rFonts w:hint="default" w:ascii="Times New Roman" w:hAnsi="Times New Roman" w:cs="Times New Roman"/>
              </w:rPr>
              <w:t>按照相应区域分别储存，避免混放。</w:t>
            </w:r>
          </w:p>
          <w:p w14:paraId="3F24E97A">
            <w:pPr>
              <w:pStyle w:val="9"/>
              <w:numPr>
                <w:ilvl w:val="0"/>
                <w:numId w:val="2"/>
              </w:numPr>
              <w:rPr>
                <w:rFonts w:hint="default" w:ascii="Times New Roman" w:hAnsi="Times New Roman" w:cs="Times New Roman"/>
              </w:rPr>
            </w:pPr>
            <w:r>
              <w:rPr>
                <w:rFonts w:hint="default" w:ascii="Times New Roman" w:hAnsi="Times New Roman" w:cs="Times New Roman"/>
              </w:rPr>
              <w:t>按消防要求设置消防通道、可燃及有毒气体检测和报警设施、火灾自动报警器和手动报警器。一旦发生火灾从而排出烟气，烟感报警器达到报警值，会发出报警信号，报警信号同时发送至中控室内的受讯总机。安装于空调送风主管的70℃防火阀达到相应温度后自动关闭，同时关闭空调机组风机及新风阀，传递信号至消防控制中心。中控室及警卫人员接到报警信号立即通知现场确认，警报正确无误后启动应急预案。</w:t>
            </w:r>
          </w:p>
          <w:p w14:paraId="025650B9">
            <w:pPr>
              <w:pStyle w:val="9"/>
              <w:numPr>
                <w:ilvl w:val="0"/>
                <w:numId w:val="2"/>
              </w:numPr>
              <w:rPr>
                <w:rFonts w:hint="default" w:ascii="Times New Roman" w:hAnsi="Times New Roman" w:cs="Times New Roman"/>
              </w:rPr>
            </w:pPr>
            <w:r>
              <w:rPr>
                <w:rFonts w:hint="default" w:ascii="Times New Roman" w:hAnsi="Times New Roman" w:cs="Times New Roman"/>
              </w:rPr>
              <w:t>严格执行危险化学品安全管理制度，落实安全责任制。对保管员加强安全培训，使其掌握危险化学品的危险特性和应急救援措施。</w:t>
            </w:r>
          </w:p>
          <w:p w14:paraId="7EE31622">
            <w:pPr>
              <w:spacing w:line="360" w:lineRule="auto"/>
              <w:ind w:firstLine="482" w:firstLineChars="200"/>
              <w:rPr>
                <w:rFonts w:ascii="Times New Roman" w:hAnsi="Times New Roman" w:cs="Times New Roman"/>
                <w:b/>
                <w:bCs/>
                <w:sz w:val="24"/>
                <w:szCs w:val="24"/>
                <w:highlight w:val="none"/>
              </w:rPr>
            </w:pPr>
            <w:r>
              <w:rPr>
                <w:rFonts w:ascii="Times New Roman" w:hAnsi="Times New Roman" w:cs="Times New Roman"/>
                <w:b/>
                <w:bCs/>
                <w:sz w:val="24"/>
                <w:szCs w:val="24"/>
                <w:highlight w:val="none"/>
              </w:rPr>
              <w:t>厂区已采取的</w:t>
            </w:r>
            <w:r>
              <w:rPr>
                <w:rFonts w:hint="eastAsia" w:ascii="Times New Roman" w:hAnsi="Times New Roman" w:cs="Times New Roman"/>
                <w:b/>
                <w:bCs/>
                <w:sz w:val="24"/>
                <w:szCs w:val="24"/>
                <w:highlight w:val="none"/>
                <w:lang w:val="en-US" w:eastAsia="zh-CN"/>
              </w:rPr>
              <w:t>应急</w:t>
            </w:r>
            <w:r>
              <w:rPr>
                <w:rFonts w:ascii="Times New Roman" w:hAnsi="Times New Roman" w:cs="Times New Roman"/>
                <w:b/>
                <w:bCs/>
                <w:sz w:val="24"/>
                <w:szCs w:val="24"/>
                <w:highlight w:val="none"/>
              </w:rPr>
              <w:t>措施：</w:t>
            </w:r>
          </w:p>
          <w:p w14:paraId="455EF7B0">
            <w:pPr>
              <w:autoSpaceDE w:val="0"/>
              <w:autoSpaceDN w:val="0"/>
              <w:adjustRightIn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w:t>
            </w:r>
            <w:r>
              <w:rPr>
                <w:rFonts w:hint="default" w:ascii="Times New Roman" w:hAnsi="Times New Roman" w:cs="Times New Roman"/>
                <w:kern w:val="0"/>
                <w:sz w:val="24"/>
                <w:szCs w:val="20"/>
              </w:rPr>
              <w:t>各隔间均安装视频监控系统；甲类库和危废暂存间设置可燃气体探测器及烟感探测器；药剂间及易制爆化学品间设置烟感探测器，上述监控措施可及时发现泄漏及火灾事故，第一时间进行处置。</w:t>
            </w:r>
          </w:p>
          <w:p w14:paraId="78169C1B">
            <w:pPr>
              <w:autoSpaceDE w:val="0"/>
              <w:autoSpaceDN w:val="0"/>
              <w:adjustRightIn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一旦发生泄漏事故，及时切断火源。应急人员穿戴必要的防护装备进入现场，分别进行堵漏和泄漏物料收集处理，其他人员迅速撤离泄漏污染区至安全区，严格限制出入，尽可能切断泄漏源。</w:t>
            </w:r>
          </w:p>
          <w:p w14:paraId="37EC0304">
            <w:pPr>
              <w:autoSpaceDE w:val="0"/>
              <w:autoSpaceDN w:val="0"/>
              <w:adjustRightIn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（2）液体物料单桶最大泄漏量</w:t>
            </w:r>
            <w:r>
              <w:rPr>
                <w:rFonts w:hint="eastAsia" w:ascii="Times New Roman" w:hAnsi="Times New Roman" w:cs="Times New Roman"/>
                <w:sz w:val="24"/>
                <w:lang w:val="en-US" w:eastAsia="zh-CN"/>
              </w:rPr>
              <w:t>为磷酸，单桶泄漏量为</w:t>
            </w:r>
            <w:r>
              <w:rPr>
                <w:rFonts w:hint="default" w:ascii="Times New Roman" w:hAnsi="Times New Roman" w:cs="Times New Roman"/>
                <w:sz w:val="24"/>
              </w:rPr>
              <w:t>307.8kg/桶，化学品库各隔间均设有截流沟和集液井，集液井0.2m</w:t>
            </w:r>
            <w:r>
              <w:rPr>
                <w:rFonts w:hint="default" w:ascii="Times New Roman" w:hAnsi="Times New Roman" w:cs="Times New Roman"/>
                <w:sz w:val="24"/>
                <w:vertAlign w:val="superscript"/>
              </w:rPr>
              <w:t>3</w:t>
            </w:r>
            <w:r>
              <w:rPr>
                <w:rFonts w:hint="default" w:ascii="Times New Roman" w:hAnsi="Times New Roman" w:cs="Times New Roman"/>
                <w:sz w:val="24"/>
              </w:rPr>
              <w:t>，泄漏液体可截留在集液井内。各隔间地面采用高密度聚乙烯防渗材料进行可靠防渗，泄漏物料不会污染地下水。厂区雨水排口设置雨水截止阀，雨水截止阀处于常闭状态，可将泄漏物料和消防废水截留在厂区雨水管网内。</w:t>
            </w:r>
          </w:p>
          <w:p w14:paraId="4E5242A8">
            <w:pPr>
              <w:pStyle w:val="9"/>
              <w:numPr>
                <w:ilvl w:val="0"/>
                <w:numId w:val="0"/>
              </w:numPr>
              <w:ind w:firstLine="423"/>
              <w:rPr>
                <w:rFonts w:hint="default" w:ascii="Times New Roman" w:hAnsi="Times New Roman" w:cs="Times New Roman"/>
                <w:b/>
                <w:bCs/>
              </w:rPr>
            </w:pPr>
            <w:r>
              <w:rPr>
                <w:rFonts w:hint="default" w:ascii="Times New Roman" w:hAnsi="Times New Roman" w:cs="Times New Roman"/>
              </w:rPr>
              <w:t>本项目化学品主要通过</w:t>
            </w:r>
            <w:r>
              <w:rPr>
                <w:rFonts w:hint="default" w:ascii="Times New Roman" w:hAnsi="Times New Roman" w:cs="Times New Roman"/>
                <w:bCs/>
              </w:rPr>
              <w:t>物流通道运输，物料通道为硬化防渗路面，化学品严格按照线路采用叉车运输，</w:t>
            </w:r>
            <w:r>
              <w:rPr>
                <w:rFonts w:hint="default" w:ascii="Times New Roman" w:hAnsi="Times New Roman" w:cs="Times New Roman"/>
              </w:rPr>
              <w:t>同时配备吸附棉、消防沙、灭火器等应急物资，监控室发现事故情况，立即联系现场人员进行处置；乙腈、乙醇、盐酸、磷酸、次氯酸钠、氢氧化钠、氢氧化钾等危险化学品采用叉车通过地面进行运输，车上配备吸附棉及灭火器等应急物资，可及时处置。</w:t>
            </w:r>
          </w:p>
          <w:p w14:paraId="5228473C">
            <w:pPr>
              <w:pStyle w:val="9"/>
              <w:numPr>
                <w:ilvl w:val="0"/>
                <w:numId w:val="0"/>
              </w:numPr>
              <w:ind w:firstLine="423"/>
              <w:rPr>
                <w:rFonts w:hint="default" w:ascii="Times New Roman" w:hAnsi="Times New Roman" w:cs="Times New Roman"/>
                <w:szCs w:val="24"/>
              </w:rPr>
            </w:pPr>
            <w:r>
              <w:rPr>
                <w:rFonts w:hint="default" w:ascii="Times New Roman" w:hAnsi="Times New Roman" w:cs="Times New Roman"/>
                <w:szCs w:val="24"/>
              </w:rPr>
              <w:t>厂区内设有2处雨水总排口，分别位于第六大街和第七大街上。雨水总排口设置应急截止阀。厂区雨水管网分Ya、Yb两区，本项目位于Ya区，如果发生了化学品泄漏进入雨水管线情况，化学品就近流入第六大街雨水排放口2，雨水排放口截止阀常闭，泄漏物料可截留在厂区雨水管道内，避免化学品从雨水井排出厂区外。另外，作为应急截止阀极端情况失效的补充应急措施，在带截止阀雨水井的临近下游雨水井旁边设置应急沙箱。一旦截止阀失效，亦可使用应急砂填堵雨水井，防止污染物排入外环境。</w:t>
            </w:r>
          </w:p>
          <w:p w14:paraId="649EF432">
            <w:pPr>
              <w:spacing w:line="360" w:lineRule="auto"/>
              <w:ind w:firstLine="482"/>
              <w:rPr>
                <w:rFonts w:hint="default" w:ascii="Times New Roman" w:hAnsi="Times New Roman" w:cs="Times New Roman"/>
              </w:rPr>
            </w:pPr>
            <w:r>
              <w:rPr>
                <w:rFonts w:hint="default" w:ascii="Times New Roman" w:hAnsi="Times New Roman" w:cs="Times New Roman"/>
                <w:kern w:val="0"/>
                <w:sz w:val="24"/>
              </w:rPr>
              <w:t>（3）严重火灾时，消防废水可能经厂区雨水管网进入市政雨水管网，此时须报告经开区生态环境局，启动区域应急，市政雨水管网进入东排明渠之前设有闸阀（常闭状态），可对事故废水截留，地表水环境风险可防控。</w:t>
            </w:r>
          </w:p>
          <w:p w14:paraId="0370F2FF">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3.</w:t>
            </w:r>
            <w:r>
              <w:rPr>
                <w:rFonts w:hint="eastAsia" w:ascii="Times New Roman" w:hAnsi="Times New Roman" w:cs="Times New Roman"/>
                <w:sz w:val="24"/>
                <w:szCs w:val="24"/>
                <w:highlight w:val="none"/>
              </w:rPr>
              <w:t>9</w:t>
            </w:r>
            <w:r>
              <w:rPr>
                <w:rFonts w:ascii="Times New Roman" w:hAnsi="Times New Roman" w:cs="Times New Roman"/>
                <w:sz w:val="24"/>
                <w:szCs w:val="24"/>
                <w:highlight w:val="none"/>
              </w:rPr>
              <w:t xml:space="preserve"> 应急预案落实情况</w:t>
            </w:r>
          </w:p>
          <w:p w14:paraId="57BA0BEC">
            <w:pPr>
              <w:spacing w:line="360" w:lineRule="auto"/>
              <w:ind w:firstLine="480" w:firstLineChars="200"/>
              <w:rPr>
                <w:rFonts w:ascii="Times New Roman" w:hAnsi="Times New Roman" w:cs="Times New Roman"/>
                <w:sz w:val="24"/>
                <w:szCs w:val="24"/>
                <w:highlight w:val="yellow"/>
              </w:rPr>
            </w:pPr>
            <w:r>
              <w:rPr>
                <w:rFonts w:hint="eastAsia" w:ascii="Times New Roman" w:hAnsi="Times New Roman" w:cs="Times New Roman"/>
                <w:sz w:val="24"/>
                <w:highlight w:val="none"/>
              </w:rPr>
              <w:t>企业</w:t>
            </w:r>
            <w:r>
              <w:rPr>
                <w:rFonts w:hint="eastAsia" w:ascii="Times New Roman" w:hAnsi="Times New Roman" w:cs="Times New Roman"/>
                <w:sz w:val="24"/>
                <w:highlight w:val="none"/>
                <w:lang w:val="en-US" w:eastAsia="zh-CN"/>
              </w:rPr>
              <w:t>完成</w:t>
            </w:r>
            <w:r>
              <w:rPr>
                <w:rFonts w:hint="eastAsia" w:ascii="Times New Roman" w:hAnsi="Times New Roman" w:cs="Times New Roman"/>
                <w:sz w:val="24"/>
                <w:szCs w:val="24"/>
                <w:highlight w:val="none"/>
                <w:lang w:eastAsia="zh-CN"/>
              </w:rPr>
              <w:t>诺和诺德（中国）制药有限公司</w:t>
            </w:r>
            <w:r>
              <w:rPr>
                <w:rFonts w:ascii="Times New Roman" w:hAnsi="Times New Roman" w:cs="Times New Roman"/>
                <w:sz w:val="24"/>
                <w:szCs w:val="24"/>
                <w:highlight w:val="none"/>
              </w:rPr>
              <w:t>全厂应急预案的</w:t>
            </w:r>
            <w:r>
              <w:rPr>
                <w:rFonts w:hint="eastAsia" w:ascii="Times New Roman" w:hAnsi="Times New Roman" w:cs="Times New Roman"/>
                <w:sz w:val="24"/>
                <w:szCs w:val="24"/>
                <w:highlight w:val="none"/>
              </w:rPr>
              <w:t>修订</w:t>
            </w:r>
            <w:r>
              <w:rPr>
                <w:rFonts w:ascii="Times New Roman" w:hAnsi="Times New Roman" w:cs="Times New Roman"/>
                <w:sz w:val="24"/>
                <w:szCs w:val="24"/>
                <w:highlight w:val="none"/>
              </w:rPr>
              <w:t>。</w:t>
            </w:r>
          </w:p>
          <w:p w14:paraId="29A457CA">
            <w:pPr>
              <w:spacing w:line="360" w:lineRule="auto"/>
              <w:rPr>
                <w:rFonts w:ascii="Times New Roman" w:hAnsi="Times New Roman" w:cs="Times New Roman"/>
                <w:sz w:val="24"/>
                <w:szCs w:val="24"/>
                <w:highlight w:val="yellow"/>
              </w:rPr>
            </w:pPr>
          </w:p>
        </w:tc>
      </w:tr>
    </w:tbl>
    <w:p w14:paraId="03C2A100">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bookmarkStart w:id="27" w:name="_Toc112582534"/>
    </w:p>
    <w:p w14:paraId="4E53E772">
      <w:pPr>
        <w:spacing w:line="276" w:lineRule="auto"/>
        <w:jc w:val="left"/>
        <w:outlineLvl w:val="0"/>
        <w:rPr>
          <w:rFonts w:ascii="Times New Roman" w:hAnsi="Times New Roman" w:cs="Times New Roman"/>
          <w:sz w:val="28"/>
          <w:szCs w:val="28"/>
          <w:highlight w:val="none"/>
        </w:rPr>
      </w:pPr>
      <w:r>
        <w:rPr>
          <w:rFonts w:ascii="Times New Roman" w:hAnsi="Times New Roman" w:cs="Times New Roman"/>
          <w:sz w:val="28"/>
          <w:szCs w:val="28"/>
          <w:highlight w:val="none"/>
        </w:rPr>
        <w:t>表四</w:t>
      </w:r>
      <w:bookmarkEnd w:id="27"/>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90D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14:paraId="1D3A4192">
            <w:pPr>
              <w:spacing w:line="276" w:lineRule="auto"/>
              <w:jc w:val="left"/>
              <w:outlineLvl w:val="0"/>
              <w:rPr>
                <w:sz w:val="24"/>
                <w:szCs w:val="24"/>
                <w:highlight w:val="none"/>
              </w:rPr>
            </w:pPr>
            <w:bookmarkStart w:id="28" w:name="_Toc112582535"/>
            <w:r>
              <w:rPr>
                <w:sz w:val="24"/>
                <w:szCs w:val="24"/>
                <w:highlight w:val="none"/>
              </w:rPr>
              <w:t>建设项目环境影响报告表主要结论及审批部门审批决定：</w:t>
            </w:r>
            <w:bookmarkEnd w:id="28"/>
          </w:p>
          <w:p w14:paraId="448079DC">
            <w:pPr>
              <w:spacing w:line="360" w:lineRule="auto"/>
              <w:jc w:val="left"/>
              <w:outlineLvl w:val="0"/>
              <w:rPr>
                <w:rFonts w:ascii="Times New Roman" w:hAnsi="Times New Roman" w:cs="Times New Roman"/>
                <w:sz w:val="24"/>
                <w:szCs w:val="24"/>
                <w:highlight w:val="none"/>
              </w:rPr>
            </w:pPr>
            <w:bookmarkStart w:id="29" w:name="_Toc112582536"/>
            <w:r>
              <w:rPr>
                <w:rFonts w:ascii="Times New Roman" w:hAnsi="Times New Roman" w:cs="Times New Roman"/>
                <w:sz w:val="24"/>
                <w:szCs w:val="24"/>
                <w:highlight w:val="none"/>
              </w:rPr>
              <w:t>4.1  环评结论</w:t>
            </w:r>
            <w:bookmarkEnd w:id="29"/>
          </w:p>
          <w:p w14:paraId="74CF4F6F">
            <w:pPr>
              <w:adjustRightInd w:val="0"/>
              <w:spacing w:line="360" w:lineRule="auto"/>
              <w:ind w:firstLine="480"/>
              <w:jc w:val="left"/>
              <w:rPr>
                <w:sz w:val="24"/>
                <w:highlight w:val="none"/>
              </w:rPr>
            </w:pPr>
            <w:r>
              <w:rPr>
                <w:sz w:val="24"/>
                <w:highlight w:val="none"/>
              </w:rPr>
              <w:t>项目建设内容符合国家产业政策要求，选址符合该地区总体规划。项目拟建地具备建设的环境条件，选址符合规划要求。运营期在采取有效防治措施的前提下，各项污染物均可控制在环境要求范围以内。在合理采纳和落实本评价提出的各项环保要求的基础上，项目的建设具备环境可行性。</w:t>
            </w:r>
            <w:bookmarkStart w:id="30" w:name="_Toc112582537"/>
          </w:p>
          <w:p w14:paraId="3AF6E651">
            <w:pPr>
              <w:adjustRightInd w:val="0"/>
              <w:spacing w:line="36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4.2环评批复及落实情况</w:t>
            </w:r>
            <w:bookmarkEnd w:id="30"/>
          </w:p>
          <w:p w14:paraId="43D16280">
            <w:pPr>
              <w:pStyle w:val="47"/>
              <w:rPr>
                <w:rFonts w:ascii="Times New Roman" w:hAnsi="Times New Roman" w:cs="Times New Roman"/>
                <w:color w:val="auto"/>
                <w:highlight w:val="none"/>
              </w:rPr>
            </w:pPr>
            <w:r>
              <w:rPr>
                <w:rFonts w:ascii="Times New Roman" w:hAnsi="Times New Roman" w:cs="Times New Roman"/>
                <w:color w:val="auto"/>
                <w:highlight w:val="none"/>
              </w:rPr>
              <w:t>环评批复：</w:t>
            </w:r>
          </w:p>
          <w:p w14:paraId="09C2FD63">
            <w:pPr>
              <w:pStyle w:val="47"/>
              <w:rPr>
                <w:rFonts w:ascii="Times New Roman" w:hAnsi="Times New Roman" w:cs="Times New Roman"/>
                <w:color w:val="auto"/>
                <w:highlight w:val="yellow"/>
              </w:rPr>
            </w:pPr>
          </w:p>
          <w:p w14:paraId="261E71C4">
            <w:pPr>
              <w:pStyle w:val="47"/>
              <w:rPr>
                <w:rFonts w:ascii="Times New Roman" w:hAnsi="Times New Roman" w:cs="Times New Roman"/>
                <w:color w:val="auto"/>
                <w:highlight w:val="yellow"/>
              </w:rPr>
            </w:pPr>
          </w:p>
          <w:p w14:paraId="5E856588">
            <w:pPr>
              <w:pStyle w:val="47"/>
              <w:rPr>
                <w:color w:val="auto"/>
                <w:highlight w:val="yellow"/>
              </w:rPr>
            </w:pPr>
          </w:p>
          <w:p w14:paraId="3E235A9C">
            <w:pPr>
              <w:pStyle w:val="47"/>
              <w:jc w:val="center"/>
              <w:rPr>
                <w:color w:val="auto"/>
                <w:highlight w:val="yellow"/>
              </w:rPr>
            </w:pPr>
          </w:p>
          <w:p w14:paraId="1E8EC728">
            <w:pPr>
              <w:pStyle w:val="47"/>
              <w:jc w:val="center"/>
              <w:rPr>
                <w:color w:val="auto"/>
                <w:highlight w:val="yellow"/>
              </w:rPr>
            </w:pPr>
          </w:p>
          <w:p w14:paraId="6038548E">
            <w:pPr>
              <w:pStyle w:val="47"/>
              <w:jc w:val="center"/>
              <w:rPr>
                <w:color w:val="auto"/>
                <w:highlight w:val="yellow"/>
              </w:rPr>
            </w:pPr>
          </w:p>
          <w:p w14:paraId="0BFC6B91">
            <w:pPr>
              <w:pStyle w:val="47"/>
              <w:jc w:val="center"/>
              <w:rPr>
                <w:color w:val="auto"/>
                <w:highlight w:val="yellow"/>
              </w:rPr>
            </w:pPr>
          </w:p>
          <w:p w14:paraId="76EDA6D8">
            <w:pPr>
              <w:pStyle w:val="47"/>
              <w:jc w:val="center"/>
              <w:rPr>
                <w:color w:val="auto"/>
                <w:highlight w:val="yellow"/>
              </w:rPr>
            </w:pPr>
          </w:p>
          <w:p w14:paraId="6BBE5FAC">
            <w:pPr>
              <w:pStyle w:val="47"/>
              <w:jc w:val="center"/>
              <w:rPr>
                <w:color w:val="auto"/>
                <w:highlight w:val="yellow"/>
              </w:rPr>
            </w:pPr>
          </w:p>
          <w:p w14:paraId="7227F80F">
            <w:pPr>
              <w:pStyle w:val="47"/>
              <w:jc w:val="center"/>
              <w:rPr>
                <w:color w:val="auto"/>
                <w:highlight w:val="yellow"/>
              </w:rPr>
            </w:pPr>
          </w:p>
          <w:p w14:paraId="22DF1446">
            <w:pPr>
              <w:pStyle w:val="47"/>
              <w:jc w:val="center"/>
              <w:rPr>
                <w:color w:val="auto"/>
                <w:highlight w:val="yellow"/>
              </w:rPr>
            </w:pPr>
          </w:p>
          <w:p w14:paraId="5256B9C0">
            <w:pPr>
              <w:pStyle w:val="47"/>
              <w:jc w:val="center"/>
              <w:rPr>
                <w:color w:val="auto"/>
                <w:highlight w:val="yellow"/>
              </w:rPr>
            </w:pPr>
          </w:p>
          <w:p w14:paraId="53571E08">
            <w:pPr>
              <w:pStyle w:val="47"/>
              <w:jc w:val="center"/>
              <w:rPr>
                <w:color w:val="auto"/>
                <w:highlight w:val="yellow"/>
              </w:rPr>
            </w:pPr>
          </w:p>
          <w:p w14:paraId="0A5CDFA4">
            <w:pPr>
              <w:pStyle w:val="47"/>
              <w:jc w:val="center"/>
              <w:rPr>
                <w:color w:val="auto"/>
                <w:highlight w:val="yellow"/>
              </w:rPr>
            </w:pPr>
          </w:p>
          <w:p w14:paraId="4CED4C2A">
            <w:pPr>
              <w:pStyle w:val="47"/>
              <w:jc w:val="center"/>
              <w:rPr>
                <w:color w:val="auto"/>
                <w:highlight w:val="yellow"/>
              </w:rPr>
            </w:pPr>
          </w:p>
          <w:p w14:paraId="15ECADD6">
            <w:pPr>
              <w:pStyle w:val="47"/>
              <w:jc w:val="center"/>
              <w:rPr>
                <w:color w:val="auto"/>
                <w:highlight w:val="yellow"/>
              </w:rPr>
            </w:pPr>
          </w:p>
          <w:p w14:paraId="38ECC537">
            <w:pPr>
              <w:pStyle w:val="47"/>
              <w:jc w:val="center"/>
              <w:rPr>
                <w:color w:val="auto"/>
                <w:highlight w:val="yellow"/>
              </w:rPr>
            </w:pPr>
          </w:p>
          <w:p w14:paraId="043FBC9A">
            <w:pPr>
              <w:pStyle w:val="47"/>
              <w:jc w:val="center"/>
              <w:rPr>
                <w:color w:val="auto"/>
                <w:highlight w:val="yellow"/>
              </w:rPr>
            </w:pPr>
          </w:p>
          <w:p w14:paraId="296ECA3A">
            <w:pPr>
              <w:pStyle w:val="47"/>
              <w:jc w:val="center"/>
              <w:rPr>
                <w:color w:val="auto"/>
                <w:highlight w:val="yellow"/>
              </w:rPr>
            </w:pPr>
          </w:p>
          <w:p w14:paraId="3E8D5FD1">
            <w:pPr>
              <w:pStyle w:val="47"/>
              <w:jc w:val="center"/>
              <w:rPr>
                <w:color w:val="auto"/>
                <w:highlight w:val="yellow"/>
              </w:rPr>
            </w:pPr>
          </w:p>
          <w:p w14:paraId="756AE869">
            <w:pPr>
              <w:pStyle w:val="47"/>
              <w:jc w:val="center"/>
              <w:rPr>
                <w:color w:val="auto"/>
                <w:highlight w:val="yellow"/>
              </w:rPr>
            </w:pPr>
          </w:p>
          <w:p w14:paraId="3765E05F">
            <w:pPr>
              <w:pStyle w:val="47"/>
              <w:jc w:val="center"/>
              <w:rPr>
                <w:color w:val="auto"/>
                <w:highlight w:val="yellow"/>
              </w:rPr>
            </w:pPr>
          </w:p>
          <w:p w14:paraId="2EB0FAD8">
            <w:pPr>
              <w:pStyle w:val="47"/>
              <w:jc w:val="center"/>
              <w:rPr>
                <w:color w:val="auto"/>
                <w:highlight w:val="yellow"/>
              </w:rPr>
            </w:pPr>
          </w:p>
          <w:p w14:paraId="4E49EB5B">
            <w:pPr>
              <w:pStyle w:val="47"/>
              <w:jc w:val="center"/>
              <w:rPr>
                <w:color w:val="auto"/>
                <w:highlight w:val="yellow"/>
              </w:rPr>
            </w:pPr>
          </w:p>
          <w:p w14:paraId="0A08258C">
            <w:pPr>
              <w:pStyle w:val="47"/>
              <w:jc w:val="center"/>
              <w:rPr>
                <w:color w:val="auto"/>
                <w:highlight w:val="yellow"/>
              </w:rPr>
            </w:pPr>
          </w:p>
          <w:p w14:paraId="1A2D19BB">
            <w:pPr>
              <w:pStyle w:val="47"/>
              <w:jc w:val="center"/>
              <w:rPr>
                <w:color w:val="auto"/>
                <w:highlight w:val="yellow"/>
              </w:rPr>
            </w:pPr>
          </w:p>
          <w:p w14:paraId="5A5FE9C9">
            <w:pPr>
              <w:jc w:val="center"/>
              <w:outlineLvl w:val="0"/>
              <w:rPr>
                <w:highlight w:val="yellow"/>
              </w:rPr>
            </w:pPr>
            <w:bookmarkStart w:id="31" w:name="_Toc112582538"/>
          </w:p>
          <w:p w14:paraId="0C1A5BC4">
            <w:pPr>
              <w:jc w:val="center"/>
              <w:outlineLvl w:val="0"/>
              <w:rPr>
                <w:highlight w:val="yellow"/>
              </w:rPr>
            </w:pPr>
          </w:p>
          <w:p w14:paraId="6667056C">
            <w:pPr>
              <w:jc w:val="center"/>
              <w:outlineLvl w:val="0"/>
              <w:rPr>
                <w:highlight w:val="yellow"/>
              </w:rPr>
            </w:pPr>
          </w:p>
          <w:p w14:paraId="03E40810">
            <w:pPr>
              <w:jc w:val="center"/>
              <w:outlineLvl w:val="0"/>
              <w:rPr>
                <w:highlight w:val="yellow"/>
              </w:rPr>
            </w:pPr>
          </w:p>
          <w:p w14:paraId="17B86160">
            <w:pPr>
              <w:jc w:val="center"/>
              <w:outlineLvl w:val="0"/>
              <w:rPr>
                <w:highlight w:val="yellow"/>
              </w:rPr>
            </w:pPr>
          </w:p>
          <w:bookmarkEnd w:id="31"/>
          <w:p w14:paraId="5286BAB8">
            <w:pPr>
              <w:spacing w:line="360" w:lineRule="auto"/>
              <w:ind w:firstLine="420" w:firstLineChars="200"/>
              <w:jc w:val="center"/>
              <w:outlineLvl w:val="0"/>
              <w:rPr>
                <w:rFonts w:hint="eastAsia" w:eastAsiaTheme="minorEastAsia"/>
                <w:sz w:val="24"/>
                <w:szCs w:val="24"/>
                <w:highlight w:val="yellow"/>
                <w:lang w:eastAsia="zh-CN"/>
              </w:rPr>
            </w:pPr>
            <w:r>
              <w:drawing>
                <wp:inline distT="0" distB="0" distL="114300" distR="114300">
                  <wp:extent cx="4991100" cy="7067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a:stretch>
                            <a:fillRect/>
                          </a:stretch>
                        </pic:blipFill>
                        <pic:spPr>
                          <a:xfrm>
                            <a:off x="0" y="0"/>
                            <a:ext cx="4991100" cy="7067550"/>
                          </a:xfrm>
                          <a:prstGeom prst="rect">
                            <a:avLst/>
                          </a:prstGeom>
                          <a:noFill/>
                          <a:ln>
                            <a:noFill/>
                          </a:ln>
                        </pic:spPr>
                      </pic:pic>
                    </a:graphicData>
                  </a:graphic>
                </wp:inline>
              </w:drawing>
            </w:r>
          </w:p>
          <w:p w14:paraId="75B07AD4">
            <w:pPr>
              <w:spacing w:line="360" w:lineRule="auto"/>
              <w:ind w:firstLine="420" w:firstLineChars="200"/>
              <w:jc w:val="center"/>
              <w:outlineLvl w:val="0"/>
            </w:pPr>
            <w:r>
              <w:drawing>
                <wp:inline distT="0" distB="0" distL="114300" distR="114300">
                  <wp:extent cx="4962525" cy="747712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stretch>
                            <a:fillRect/>
                          </a:stretch>
                        </pic:blipFill>
                        <pic:spPr>
                          <a:xfrm>
                            <a:off x="0" y="0"/>
                            <a:ext cx="4962525" cy="7477125"/>
                          </a:xfrm>
                          <a:prstGeom prst="rect">
                            <a:avLst/>
                          </a:prstGeom>
                          <a:noFill/>
                          <a:ln>
                            <a:noFill/>
                          </a:ln>
                        </pic:spPr>
                      </pic:pic>
                    </a:graphicData>
                  </a:graphic>
                </wp:inline>
              </w:drawing>
            </w:r>
          </w:p>
          <w:p w14:paraId="67BBE4DA">
            <w:pPr>
              <w:spacing w:line="360" w:lineRule="auto"/>
              <w:ind w:firstLine="420" w:firstLineChars="200"/>
              <w:jc w:val="center"/>
              <w:outlineLvl w:val="0"/>
              <w:rPr>
                <w:sz w:val="24"/>
                <w:szCs w:val="24"/>
                <w:highlight w:val="yellow"/>
              </w:rPr>
            </w:pPr>
            <w:r>
              <w:drawing>
                <wp:inline distT="0" distB="0" distL="114300" distR="114300">
                  <wp:extent cx="4962525" cy="72771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a:stretch>
                            <a:fillRect/>
                          </a:stretch>
                        </pic:blipFill>
                        <pic:spPr>
                          <a:xfrm>
                            <a:off x="0" y="0"/>
                            <a:ext cx="4962525" cy="7277100"/>
                          </a:xfrm>
                          <a:prstGeom prst="rect">
                            <a:avLst/>
                          </a:prstGeom>
                          <a:noFill/>
                          <a:ln>
                            <a:noFill/>
                          </a:ln>
                        </pic:spPr>
                      </pic:pic>
                    </a:graphicData>
                  </a:graphic>
                </wp:inline>
              </w:drawing>
            </w:r>
            <w:r>
              <w:rPr>
                <w:sz w:val="24"/>
                <w:szCs w:val="24"/>
                <w:highlight w:val="none"/>
              </w:rPr>
              <w:t xml:space="preserve">    </w:t>
            </w:r>
          </w:p>
        </w:tc>
      </w:tr>
    </w:tbl>
    <w:p w14:paraId="555322FD">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bookmarkStart w:id="32" w:name="_Toc112582540"/>
    </w:p>
    <w:tbl>
      <w:tblPr>
        <w:tblStyle w:val="19"/>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792F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0" w:hRule="atLeast"/>
        </w:trPr>
        <w:tc>
          <w:tcPr>
            <w:tcW w:w="8520" w:type="dxa"/>
          </w:tcPr>
          <w:p w14:paraId="3904FE09">
            <w:pPr>
              <w:jc w:val="center"/>
              <w:outlineLvl w:val="0"/>
              <w:rPr>
                <w:rFonts w:ascii="Times New Roman" w:hAnsi="Times New Roman" w:cs="Times New Roman"/>
                <w:highlight w:val="none"/>
              </w:rPr>
            </w:pPr>
            <w:r>
              <w:rPr>
                <w:rFonts w:ascii="Times New Roman" w:hAnsi="Times New Roman" w:cs="Times New Roman"/>
                <w:highlight w:val="none"/>
              </w:rPr>
              <w:t>表4-1  环评批复及落实情况</w:t>
            </w:r>
          </w:p>
          <w:tbl>
            <w:tblPr>
              <w:tblStyle w:val="20"/>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3556"/>
              <w:gridCol w:w="3197"/>
              <w:gridCol w:w="1019"/>
            </w:tblGrid>
            <w:tr w14:paraId="66B1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400F7AD5">
                  <w:pPr>
                    <w:spacing w:line="276" w:lineRule="auto"/>
                    <w:jc w:val="center"/>
                    <w:outlineLvl w:val="0"/>
                    <w:rPr>
                      <w:rFonts w:ascii="Times New Roman" w:hAnsi="Times New Roman" w:cs="Times New Roman"/>
                      <w:szCs w:val="21"/>
                      <w:highlight w:val="none"/>
                    </w:rPr>
                  </w:pPr>
                  <w:r>
                    <w:rPr>
                      <w:rFonts w:hint="eastAsia" w:ascii="Times New Roman" w:hAnsi="Times New Roman" w:cs="Times New Roman"/>
                      <w:szCs w:val="21"/>
                      <w:highlight w:val="none"/>
                    </w:rPr>
                    <w:t>序号</w:t>
                  </w:r>
                </w:p>
              </w:tc>
              <w:tc>
                <w:tcPr>
                  <w:tcW w:w="3556" w:type="dxa"/>
                  <w:vAlign w:val="center"/>
                </w:tcPr>
                <w:p w14:paraId="12229CF1">
                  <w:pPr>
                    <w:spacing w:line="276" w:lineRule="auto"/>
                    <w:jc w:val="center"/>
                    <w:outlineLvl w:val="0"/>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审批决定要求</w:t>
                  </w:r>
                </w:p>
              </w:tc>
              <w:tc>
                <w:tcPr>
                  <w:tcW w:w="3197" w:type="dxa"/>
                  <w:vAlign w:val="center"/>
                </w:tcPr>
                <w:p w14:paraId="519B97A1">
                  <w:pPr>
                    <w:spacing w:line="276" w:lineRule="auto"/>
                    <w:jc w:val="center"/>
                    <w:outlineLvl w:val="0"/>
                    <w:rPr>
                      <w:rFonts w:ascii="Times New Roman" w:hAnsi="Times New Roman" w:cs="Times New Roman"/>
                      <w:szCs w:val="21"/>
                      <w:highlight w:val="none"/>
                    </w:rPr>
                  </w:pPr>
                  <w:r>
                    <w:rPr>
                      <w:rFonts w:hint="eastAsia" w:ascii="Times New Roman" w:hAnsi="Times New Roman" w:cs="Times New Roman"/>
                      <w:szCs w:val="21"/>
                      <w:highlight w:val="none"/>
                    </w:rPr>
                    <w:t>实际建设情况</w:t>
                  </w:r>
                </w:p>
              </w:tc>
              <w:tc>
                <w:tcPr>
                  <w:tcW w:w="1019" w:type="dxa"/>
                  <w:vAlign w:val="center"/>
                </w:tcPr>
                <w:p w14:paraId="17A5AE46">
                  <w:pPr>
                    <w:spacing w:line="276" w:lineRule="auto"/>
                    <w:jc w:val="center"/>
                    <w:outlineLvl w:val="0"/>
                    <w:rPr>
                      <w:rFonts w:ascii="Times New Roman" w:hAnsi="Times New Roman" w:cs="Times New Roman"/>
                      <w:szCs w:val="21"/>
                      <w:highlight w:val="none"/>
                    </w:rPr>
                  </w:pPr>
                  <w:r>
                    <w:rPr>
                      <w:rFonts w:hint="eastAsia" w:ascii="Times New Roman" w:hAnsi="Times New Roman" w:cs="Times New Roman"/>
                      <w:szCs w:val="21"/>
                      <w:highlight w:val="none"/>
                    </w:rPr>
                    <w:t>落实情况</w:t>
                  </w:r>
                </w:p>
              </w:tc>
            </w:tr>
            <w:tr w14:paraId="70F3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Align w:val="center"/>
                </w:tcPr>
                <w:p w14:paraId="54A49166">
                  <w:pPr>
                    <w:spacing w:line="276" w:lineRule="auto"/>
                    <w:outlineLvl w:val="0"/>
                    <w:rPr>
                      <w:rFonts w:ascii="Times New Roman" w:hAnsi="Times New Roman" w:cs="Times New Roman"/>
                      <w:szCs w:val="21"/>
                      <w:highlight w:val="none"/>
                    </w:rPr>
                  </w:pPr>
                  <w:r>
                    <w:rPr>
                      <w:rFonts w:hint="eastAsia" w:ascii="Times New Roman" w:hAnsi="Times New Roman" w:cs="Times New Roman"/>
                      <w:szCs w:val="21"/>
                      <w:highlight w:val="none"/>
                    </w:rPr>
                    <w:t>1</w:t>
                  </w:r>
                </w:p>
              </w:tc>
              <w:tc>
                <w:tcPr>
                  <w:tcW w:w="3556" w:type="dxa"/>
                  <w:vAlign w:val="center"/>
                </w:tcPr>
                <w:p w14:paraId="6FA8CFB1">
                  <w:pPr>
                    <w:spacing w:line="276" w:lineRule="auto"/>
                    <w:ind w:firstLine="420" w:firstLineChars="200"/>
                    <w:outlineLvl w:val="0"/>
                    <w:rPr>
                      <w:rFonts w:ascii="Times New Roman" w:hAnsi="Times New Roman" w:cs="Times New Roman"/>
                      <w:szCs w:val="21"/>
                      <w:highlight w:val="none"/>
                    </w:rPr>
                  </w:pPr>
                  <w:r>
                    <w:rPr>
                      <w:rFonts w:hint="eastAsia" w:ascii="Times New Roman" w:hAnsi="Times New Roman" w:eastAsia="宋体" w:cs="Times New Roman"/>
                      <w:szCs w:val="21"/>
                      <w:highlight w:val="none"/>
                      <w:lang w:val="en-US" w:eastAsia="zh-CN"/>
                    </w:rPr>
                    <w:t>一、根据该项目完成的环境影响报告表结论及技术评估报告原则同意你公司在东区相安路 31号进行“无菌生产厂项目W2-仓库 2”建设。该项目拟新建一栋甲类化学品库房，分别设置甲类库、易制爆化学品间、危废暂存间、药剂间四个隔间。该项目总投资 2500万元，环保投资30万元，约占投资总额的1.2%</w:t>
                  </w:r>
                </w:p>
              </w:tc>
              <w:tc>
                <w:tcPr>
                  <w:tcW w:w="3197" w:type="dxa"/>
                  <w:vAlign w:val="center"/>
                </w:tcPr>
                <w:p w14:paraId="20FC071C">
                  <w:pPr>
                    <w:spacing w:line="276" w:lineRule="auto"/>
                    <w:ind w:firstLine="420" w:firstLineChars="200"/>
                    <w:outlineLvl w:val="0"/>
                    <w:rPr>
                      <w:rFonts w:hint="default" w:ascii="Times New Roman" w:hAnsi="Times New Roman" w:cs="Times New Roman" w:eastAsiaTheme="minorEastAsia"/>
                      <w:szCs w:val="21"/>
                      <w:highlight w:val="none"/>
                      <w:lang w:val="en-US" w:eastAsia="zh-CN"/>
                    </w:rPr>
                  </w:pPr>
                  <w:r>
                    <w:rPr>
                      <w:rFonts w:hint="eastAsia" w:ascii="Times New Roman" w:hAnsi="Times New Roman" w:eastAsia="宋体" w:cs="Times New Roman"/>
                      <w:szCs w:val="21"/>
                      <w:highlight w:val="none"/>
                      <w:lang w:val="en-US" w:eastAsia="zh-CN"/>
                    </w:rPr>
                    <w:t>本项目新建一座化学品库房，</w:t>
                  </w:r>
                  <w:r>
                    <w:rPr>
                      <w:kern w:val="0"/>
                      <w:szCs w:val="21"/>
                      <w:highlight w:val="none"/>
                    </w:rPr>
                    <w:t>库房分为四个隔间,分别为甲类库</w:t>
                  </w:r>
                  <w:r>
                    <w:rPr>
                      <w:rFonts w:hint="eastAsia"/>
                      <w:kern w:val="0"/>
                      <w:szCs w:val="21"/>
                      <w:highlight w:val="none"/>
                    </w:rPr>
                    <w:t>、</w:t>
                  </w:r>
                  <w:r>
                    <w:rPr>
                      <w:kern w:val="0"/>
                      <w:szCs w:val="21"/>
                      <w:highlight w:val="none"/>
                    </w:rPr>
                    <w:t>易制爆化学品间</w:t>
                  </w:r>
                  <w:r>
                    <w:rPr>
                      <w:rFonts w:hint="eastAsia"/>
                      <w:kern w:val="0"/>
                      <w:szCs w:val="21"/>
                      <w:highlight w:val="none"/>
                    </w:rPr>
                    <w:t>、</w:t>
                  </w:r>
                  <w:r>
                    <w:rPr>
                      <w:kern w:val="0"/>
                      <w:szCs w:val="21"/>
                      <w:highlight w:val="none"/>
                    </w:rPr>
                    <w:t>危废暂存间</w:t>
                  </w:r>
                  <w:r>
                    <w:rPr>
                      <w:rFonts w:hint="eastAsia"/>
                      <w:kern w:val="0"/>
                      <w:szCs w:val="21"/>
                      <w:highlight w:val="none"/>
                    </w:rPr>
                    <w:t>、</w:t>
                  </w:r>
                  <w:r>
                    <w:rPr>
                      <w:kern w:val="0"/>
                      <w:szCs w:val="21"/>
                      <w:highlight w:val="none"/>
                    </w:rPr>
                    <w:t>药剂间</w:t>
                  </w:r>
                  <w:r>
                    <w:rPr>
                      <w:rFonts w:hint="eastAsia"/>
                      <w:kern w:val="0"/>
                      <w:szCs w:val="21"/>
                      <w:highlight w:val="none"/>
                      <w:lang w:eastAsia="zh-CN"/>
                    </w:rPr>
                    <w:t>。</w:t>
                  </w:r>
                  <w:r>
                    <w:rPr>
                      <w:rFonts w:hint="eastAsia"/>
                      <w:kern w:val="0"/>
                      <w:szCs w:val="21"/>
                      <w:highlight w:val="none"/>
                      <w:lang w:val="en-US" w:eastAsia="zh-CN"/>
                    </w:rPr>
                    <w:t>总投资2000万元，环保投资31万元，占投资总额的1.55%</w:t>
                  </w:r>
                </w:p>
                <w:p w14:paraId="5B8C7707">
                  <w:pPr>
                    <w:spacing w:line="276" w:lineRule="auto"/>
                    <w:ind w:firstLine="420" w:firstLineChars="200"/>
                    <w:outlineLvl w:val="0"/>
                    <w:rPr>
                      <w:rFonts w:ascii="Times New Roman" w:hAnsi="Times New Roman" w:eastAsia="宋体" w:cs="Times New Roman"/>
                      <w:szCs w:val="21"/>
                      <w:highlight w:val="none"/>
                    </w:rPr>
                  </w:pPr>
                </w:p>
                <w:p w14:paraId="28394A4B">
                  <w:pPr>
                    <w:spacing w:line="276" w:lineRule="auto"/>
                    <w:ind w:firstLine="420" w:firstLineChars="200"/>
                    <w:outlineLvl w:val="0"/>
                    <w:rPr>
                      <w:rFonts w:ascii="Times New Roman" w:hAnsi="Times New Roman" w:eastAsia="宋体" w:cs="Times New Roman"/>
                      <w:szCs w:val="21"/>
                      <w:highlight w:val="none"/>
                    </w:rPr>
                  </w:pPr>
                </w:p>
                <w:p w14:paraId="2597DE3B">
                  <w:pPr>
                    <w:spacing w:line="276" w:lineRule="auto"/>
                    <w:ind w:firstLine="420" w:firstLineChars="200"/>
                    <w:outlineLvl w:val="0"/>
                    <w:rPr>
                      <w:rFonts w:ascii="Times New Roman" w:hAnsi="Times New Roman" w:eastAsia="宋体" w:cs="Times New Roman"/>
                      <w:szCs w:val="21"/>
                      <w:highlight w:val="none"/>
                    </w:rPr>
                  </w:pPr>
                </w:p>
                <w:p w14:paraId="465012A0">
                  <w:pPr>
                    <w:pStyle w:val="5"/>
                    <w:ind w:left="0" w:leftChars="0" w:firstLine="0" w:firstLineChars="0"/>
                    <w:rPr>
                      <w:rFonts w:ascii="Times New Roman" w:hAnsi="Times New Roman" w:cs="Times New Roman"/>
                      <w:szCs w:val="21"/>
                      <w:highlight w:val="none"/>
                    </w:rPr>
                  </w:pPr>
                </w:p>
              </w:tc>
              <w:tc>
                <w:tcPr>
                  <w:tcW w:w="1019" w:type="dxa"/>
                  <w:vAlign w:val="center"/>
                </w:tcPr>
                <w:p w14:paraId="4E6FAF84">
                  <w:pPr>
                    <w:spacing w:line="276" w:lineRule="auto"/>
                    <w:outlineLvl w:val="0"/>
                    <w:rPr>
                      <w:rFonts w:ascii="Times New Roman" w:hAnsi="Times New Roman" w:cs="Times New Roman"/>
                      <w:szCs w:val="21"/>
                      <w:highlight w:val="none"/>
                    </w:rPr>
                  </w:pPr>
                  <w:r>
                    <w:rPr>
                      <w:rFonts w:hint="eastAsia" w:ascii="Times New Roman" w:hAnsi="Times New Roman" w:eastAsia="宋体" w:cs="Times New Roman"/>
                      <w:bCs/>
                      <w:szCs w:val="21"/>
                      <w:highlight w:val="none"/>
                      <w:lang w:val="en-US" w:eastAsia="zh-CN"/>
                    </w:rPr>
                    <w:t>本项目建设内容、投资额</w:t>
                  </w:r>
                  <w:r>
                    <w:rPr>
                      <w:rFonts w:hint="eastAsia" w:ascii="Times New Roman" w:hAnsi="Times New Roman" w:eastAsia="宋体" w:cs="Times New Roman"/>
                      <w:bCs/>
                      <w:szCs w:val="21"/>
                      <w:highlight w:val="none"/>
                    </w:rPr>
                    <w:t>等已落实环评批复要求。</w:t>
                  </w:r>
                </w:p>
              </w:tc>
            </w:tr>
            <w:tr w14:paraId="7852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4" w:hRule="atLeast"/>
                <w:jc w:val="center"/>
              </w:trPr>
              <w:tc>
                <w:tcPr>
                  <w:tcW w:w="627" w:type="dxa"/>
                  <w:vAlign w:val="center"/>
                </w:tcPr>
                <w:p w14:paraId="2B86B616">
                  <w:pPr>
                    <w:spacing w:line="276" w:lineRule="auto"/>
                    <w:outlineLvl w:val="0"/>
                    <w:rPr>
                      <w:rFonts w:ascii="Times New Roman" w:hAnsi="Times New Roman" w:cs="Times New Roman"/>
                      <w:szCs w:val="21"/>
                      <w:highlight w:val="yellow"/>
                    </w:rPr>
                  </w:pPr>
                  <w:r>
                    <w:rPr>
                      <w:rFonts w:hint="eastAsia" w:ascii="Times New Roman" w:hAnsi="Times New Roman" w:cs="Times New Roman"/>
                      <w:szCs w:val="21"/>
                      <w:highlight w:val="none"/>
                    </w:rPr>
                    <w:t>2</w:t>
                  </w:r>
                </w:p>
              </w:tc>
              <w:tc>
                <w:tcPr>
                  <w:tcW w:w="3556" w:type="dxa"/>
                  <w:vAlign w:val="center"/>
                </w:tcPr>
                <w:p w14:paraId="7D6DAA7F">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二、该项目建设应严格执行配套建设的环境保护设施与主体工程同时设计、同时施工、同时投产使用的环境保护“三同时”制度，落实各项环保措施，其中应重点落实以下内容:</w:t>
                  </w:r>
                </w:p>
                <w:p w14:paraId="215188DC">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一)加强施工期的环境管理，严格落实《天津市大气污染防治条例》等文件的相关要求，采取切实可行措施，严格控制施工扬尘、噪声、废水、固体废物对周围环境的影响，落实重污染天气应急响应关于施工工地的相关要求。</w:t>
                  </w:r>
                </w:p>
                <w:p w14:paraId="1B632D4C">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(二)厂界噪声应执行《工业企业厂界环境噪声排放标准》</w:t>
                  </w:r>
                </w:p>
                <w:p w14:paraId="03D7CDD4">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(GB12348-2008)3、4类标准</w:t>
                  </w:r>
                </w:p>
                <w:p w14:paraId="21D5EB45">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(三)强化各项环境风险防范措施，有效防范环境风险。该项目应根据《关于进一步加强环境影响评价管理防范环境风险的通知》(环发〔2012]77号)等文件的要求，严格落实环境风险</w:t>
                  </w:r>
                </w:p>
                <w:p w14:paraId="0EAF36CC">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控制及事故应急措施，避免事故状态下产生的次生和伴生环境影响及污染。</w:t>
                  </w:r>
                </w:p>
                <w:p w14:paraId="6F5ECF5C">
                  <w:pPr>
                    <w:pStyle w:val="6"/>
                    <w:rPr>
                      <w:rFonts w:hint="eastAsia" w:ascii="Times New Roman" w:hAnsi="Times New Roman" w:cs="Times New Roman"/>
                      <w:szCs w:val="21"/>
                      <w:highlight w:val="none"/>
                      <w:lang w:val="en-US" w:eastAsia="zh-CN"/>
                    </w:rPr>
                  </w:pPr>
                </w:p>
                <w:p w14:paraId="2A882775">
                  <w:pPr>
                    <w:rPr>
                      <w:highlight w:val="none"/>
                    </w:rPr>
                  </w:pPr>
                </w:p>
              </w:tc>
              <w:tc>
                <w:tcPr>
                  <w:tcW w:w="3197" w:type="dxa"/>
                  <w:vAlign w:val="center"/>
                </w:tcPr>
                <w:p w14:paraId="737D6E42">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本项目环境保护设施与主体工程同时设计、同时施工、同时投产使用。</w:t>
                  </w:r>
                </w:p>
                <w:p w14:paraId="79CED418">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一）本项目施工期施工现场裸露地表采用防尘网进行苫盖，厂区内道路采用混凝土硬化路面，路面洒水抑尘、场地四周将敷设排水沟（管），并修建临时沉淀池，含SS、微量石油类的施工废水以及进出施工场地的车辆清洗废水排入沉淀池进行沉淀澄清处理后回用；建筑垃圾集中处理，夜间停止施工等措施降低扬尘、噪声、废水、固体废物对周围环境的影响，落实重污染天气应急响应关于施工工地的相关要求。</w:t>
                  </w:r>
                </w:p>
                <w:p w14:paraId="19540967">
                  <w:pPr>
                    <w:spacing w:line="276" w:lineRule="auto"/>
                    <w:outlineLvl w:val="0"/>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二）根据监测结果，本项目西、南、北侧厂界噪声值满足《工业企业厂界环境噪声排放标准》（GB12348-2008）4类标准限值要求，项目东侧厂界噪声值满足《工业企业厂界环境噪声排放标准》（GB12348-2008）3类标准限值要求。</w:t>
                  </w:r>
                </w:p>
                <w:p w14:paraId="6F9D06B0">
                  <w:pPr>
                    <w:spacing w:line="276" w:lineRule="auto"/>
                    <w:outlineLvl w:val="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（三）本项目已按环评要求设置了环境风险防范措施及事故应急设施，地面进行防渗漏处理</w:t>
                  </w:r>
                  <w:r>
                    <w:rPr>
                      <w:rFonts w:hint="default" w:ascii="Times New Roman" w:hAnsi="Times New Roman" w:cs="Times New Roman"/>
                      <w:szCs w:val="21"/>
                      <w:highlight w:val="none"/>
                      <w:lang w:val="en-US" w:eastAsia="zh-CN"/>
                    </w:rPr>
                    <w:t>各隔间均安装视频监控系统；甲类库和危废暂存间设置可燃气体探测器及烟感探测器；药剂间及易制爆化学品间设置烟感探测器</w:t>
                  </w:r>
                  <w:r>
                    <w:rPr>
                      <w:rFonts w:hint="eastAsia" w:ascii="Times New Roman" w:hAnsi="Times New Roman" w:cs="Times New Roman"/>
                      <w:szCs w:val="21"/>
                      <w:highlight w:val="none"/>
                      <w:lang w:val="en-US" w:eastAsia="zh-CN"/>
                    </w:rPr>
                    <w:t>。企业已修订应急预案并已备案，并定期进行应急演练。</w:t>
                  </w:r>
                </w:p>
              </w:tc>
              <w:tc>
                <w:tcPr>
                  <w:tcW w:w="1019" w:type="dxa"/>
                  <w:vAlign w:val="center"/>
                </w:tcPr>
                <w:p w14:paraId="427FA8DC">
                  <w:pPr>
                    <w:spacing w:line="276" w:lineRule="auto"/>
                    <w:outlineLvl w:val="0"/>
                    <w:rPr>
                      <w:rFonts w:ascii="Times New Roman" w:hAnsi="Times New Roman" w:cs="Times New Roman"/>
                      <w:szCs w:val="21"/>
                      <w:highlight w:val="none"/>
                    </w:rPr>
                  </w:pPr>
                  <w:r>
                    <w:rPr>
                      <w:rFonts w:ascii="Times New Roman" w:hAnsi="Times New Roman" w:eastAsia="宋体" w:cs="Times New Roman"/>
                      <w:bCs/>
                      <w:szCs w:val="21"/>
                      <w:highlight w:val="none"/>
                    </w:rPr>
                    <w:t>落实了环评批复要求</w:t>
                  </w:r>
                </w:p>
              </w:tc>
            </w:tr>
            <w:tr w14:paraId="4A3E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5A4C460B">
                  <w:pPr>
                    <w:spacing w:line="276" w:lineRule="auto"/>
                    <w:outlineLvl w:val="0"/>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3</w:t>
                  </w:r>
                </w:p>
              </w:tc>
              <w:tc>
                <w:tcPr>
                  <w:tcW w:w="3556" w:type="dxa"/>
                  <w:vAlign w:val="center"/>
                </w:tcPr>
                <w:p w14:paraId="5345E9A1">
                  <w:pPr>
                    <w:spacing w:line="276" w:lineRule="auto"/>
                    <w:outlineLvl w:val="0"/>
                    <w:rPr>
                      <w:rFonts w:ascii="Times New Roman" w:hAnsi="Times New Roman" w:cs="Times New Roman"/>
                      <w:highlight w:val="none"/>
                    </w:rPr>
                  </w:pPr>
                  <w:r>
                    <w:rPr>
                      <w:rFonts w:hint="eastAsia" w:ascii="Times New Roman" w:hAnsi="Times New Roman" w:cs="Times New Roman"/>
                      <w:highlight w:val="none"/>
                    </w:rPr>
                    <w:t>根据《企业事业单位突发环境事件应急预案备案管理办法（试行）》（环发〔</w:t>
                  </w:r>
                  <w:r>
                    <w:rPr>
                      <w:rFonts w:ascii="Times New Roman" w:hAnsi="Times New Roman" w:cs="Times New Roman"/>
                      <w:highlight w:val="none"/>
                    </w:rPr>
                    <w:t>2015</w:t>
                  </w:r>
                  <w:r>
                    <w:rPr>
                      <w:rFonts w:hint="eastAsia" w:ascii="Times New Roman" w:hAnsi="Times New Roman" w:cs="Times New Roman"/>
                      <w:highlight w:val="none"/>
                    </w:rPr>
                    <w:t>〕</w:t>
                  </w:r>
                  <w:r>
                    <w:rPr>
                      <w:rFonts w:ascii="Times New Roman" w:hAnsi="Times New Roman" w:cs="Times New Roman"/>
                      <w:highlight w:val="none"/>
                    </w:rPr>
                    <w:t xml:space="preserve">4 </w:t>
                  </w:r>
                  <w:r>
                    <w:rPr>
                      <w:rFonts w:hint="eastAsia" w:ascii="Times New Roman" w:hAnsi="Times New Roman" w:cs="Times New Roman"/>
                      <w:highlight w:val="none"/>
                    </w:rPr>
                    <w:t>号）等有关规定，你公司应在该项目投入生产或使用前履行“环境应急预案”编制（修订）及备案</w:t>
                  </w:r>
                </w:p>
              </w:tc>
              <w:tc>
                <w:tcPr>
                  <w:tcW w:w="3197" w:type="dxa"/>
                  <w:vAlign w:val="center"/>
                </w:tcPr>
                <w:p w14:paraId="66B87A8A">
                  <w:pPr>
                    <w:spacing w:line="276" w:lineRule="auto"/>
                    <w:outlineLvl w:val="0"/>
                    <w:rPr>
                      <w:rFonts w:ascii="Times New Roman" w:hAnsi="Times New Roman" w:cs="Times New Roman"/>
                      <w:highlight w:val="yellow"/>
                    </w:rPr>
                  </w:pPr>
                  <w:r>
                    <w:rPr>
                      <w:rFonts w:hint="eastAsia" w:ascii="Times New Roman" w:hAnsi="Times New Roman" w:cs="Times New Roman"/>
                      <w:szCs w:val="21"/>
                      <w:lang w:val="en-US" w:eastAsia="zh-CN"/>
                    </w:rPr>
                    <w:t>企业已</w:t>
                  </w:r>
                  <w:r>
                    <w:rPr>
                      <w:rFonts w:hint="default" w:ascii="Times New Roman" w:hAnsi="Times New Roman" w:cs="Times New Roman"/>
                      <w:szCs w:val="21"/>
                    </w:rPr>
                    <w:t>在该项目投入生产或使用前履行“环境应急预案”编制(修订)及备案。</w:t>
                  </w:r>
                </w:p>
              </w:tc>
              <w:tc>
                <w:tcPr>
                  <w:tcW w:w="1019" w:type="dxa"/>
                  <w:vAlign w:val="center"/>
                </w:tcPr>
                <w:p w14:paraId="7B4DE304">
                  <w:pPr>
                    <w:spacing w:line="276" w:lineRule="auto"/>
                    <w:outlineLvl w:val="0"/>
                    <w:rPr>
                      <w:rFonts w:ascii="Times New Roman" w:hAnsi="Times New Roman" w:cs="Times New Roman"/>
                      <w:szCs w:val="21"/>
                      <w:highlight w:val="none"/>
                    </w:rPr>
                  </w:pPr>
                  <w:r>
                    <w:rPr>
                      <w:rFonts w:hint="eastAsia" w:ascii="Times New Roman" w:hAnsi="Times New Roman" w:eastAsia="宋体" w:cs="Times New Roman"/>
                      <w:bCs/>
                      <w:szCs w:val="21"/>
                      <w:highlight w:val="none"/>
                    </w:rPr>
                    <w:t>已落实环评批复要求</w:t>
                  </w:r>
                </w:p>
              </w:tc>
            </w:tr>
            <w:tr w14:paraId="2830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68CF474E">
                  <w:pPr>
                    <w:spacing w:line="276" w:lineRule="auto"/>
                    <w:outlineLvl w:val="0"/>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4</w:t>
                  </w:r>
                </w:p>
              </w:tc>
              <w:tc>
                <w:tcPr>
                  <w:tcW w:w="3556" w:type="dxa"/>
                  <w:vAlign w:val="center"/>
                </w:tcPr>
                <w:p w14:paraId="3CA31484">
                  <w:pPr>
                    <w:spacing w:line="276" w:lineRule="auto"/>
                    <w:outlineLvl w:val="0"/>
                    <w:rPr>
                      <w:rFonts w:ascii="Times New Roman" w:hAnsi="Times New Roman" w:cs="Times New Roman"/>
                      <w:highlight w:val="none"/>
                    </w:rPr>
                  </w:pPr>
                  <w:r>
                    <w:rPr>
                      <w:rFonts w:hint="eastAsia" w:ascii="Times New Roman" w:hAnsi="Times New Roman" w:cs="Times New Roman"/>
                      <w:highlight w:val="none"/>
                    </w:rPr>
                    <w:t>根据《建设项目环境保护管理条例》，你公司应在投入</w:t>
                  </w:r>
                </w:p>
                <w:p w14:paraId="122BD7AC">
                  <w:pPr>
                    <w:spacing w:line="276" w:lineRule="auto"/>
                    <w:outlineLvl w:val="0"/>
                    <w:rPr>
                      <w:rFonts w:ascii="Times New Roman" w:hAnsi="Times New Roman" w:cs="Times New Roman"/>
                      <w:highlight w:val="none"/>
                    </w:rPr>
                  </w:pPr>
                  <w:r>
                    <w:rPr>
                      <w:rFonts w:hint="eastAsia" w:ascii="Times New Roman" w:hAnsi="Times New Roman" w:cs="Times New Roman"/>
                      <w:highlight w:val="none"/>
                    </w:rPr>
                    <w:t>生产或使用前对配套建设的环境保护设施进行自主验收，编制验收报告；同时应当依法向社会公开验收报告</w:t>
                  </w:r>
                </w:p>
              </w:tc>
              <w:tc>
                <w:tcPr>
                  <w:tcW w:w="3197" w:type="dxa"/>
                  <w:vAlign w:val="center"/>
                </w:tcPr>
                <w:p w14:paraId="5396B3B6">
                  <w:pPr>
                    <w:spacing w:line="276" w:lineRule="auto"/>
                    <w:outlineLvl w:val="0"/>
                    <w:rPr>
                      <w:rFonts w:ascii="Times New Roman" w:hAnsi="Times New Roman" w:cs="Times New Roman"/>
                      <w:highlight w:val="none"/>
                    </w:rPr>
                  </w:pPr>
                  <w:r>
                    <w:rPr>
                      <w:rFonts w:hint="eastAsia" w:ascii="Times New Roman" w:hAnsi="Times New Roman" w:cs="Times New Roman"/>
                      <w:highlight w:val="none"/>
                    </w:rPr>
                    <w:t>企业已按相关要求开展验收工作</w:t>
                  </w:r>
                </w:p>
              </w:tc>
              <w:tc>
                <w:tcPr>
                  <w:tcW w:w="1019" w:type="dxa"/>
                  <w:vAlign w:val="center"/>
                </w:tcPr>
                <w:p w14:paraId="75B38BDC">
                  <w:pPr>
                    <w:spacing w:line="276" w:lineRule="auto"/>
                    <w:outlineLvl w:val="0"/>
                    <w:rPr>
                      <w:rFonts w:ascii="Times New Roman" w:hAnsi="Times New Roman" w:eastAsia="宋体" w:cs="Times New Roman"/>
                      <w:bCs/>
                      <w:szCs w:val="21"/>
                      <w:highlight w:val="none"/>
                    </w:rPr>
                  </w:pPr>
                  <w:r>
                    <w:rPr>
                      <w:rFonts w:hint="eastAsia" w:ascii="Times New Roman" w:hAnsi="Times New Roman" w:eastAsia="宋体" w:cs="Times New Roman"/>
                      <w:bCs/>
                      <w:szCs w:val="21"/>
                      <w:highlight w:val="none"/>
                    </w:rPr>
                    <w:t>已落实环评批复要求</w:t>
                  </w:r>
                </w:p>
              </w:tc>
            </w:tr>
            <w:tr w14:paraId="4AF7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1148A6C2">
                  <w:pPr>
                    <w:spacing w:line="276" w:lineRule="auto"/>
                    <w:outlineLvl w:val="0"/>
                    <w:rPr>
                      <w:rFonts w:hint="eastAsia"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5</w:t>
                  </w:r>
                </w:p>
              </w:tc>
              <w:tc>
                <w:tcPr>
                  <w:tcW w:w="3556" w:type="dxa"/>
                  <w:vAlign w:val="center"/>
                </w:tcPr>
                <w:p w14:paraId="1C1DA2A7">
                  <w:pPr>
                    <w:spacing w:line="276" w:lineRule="auto"/>
                    <w:outlineLvl w:val="0"/>
                    <w:rPr>
                      <w:rFonts w:ascii="Times New Roman" w:hAnsi="Times New Roman" w:cs="Times New Roman"/>
                      <w:highlight w:val="none"/>
                    </w:rPr>
                  </w:pPr>
                  <w:r>
                    <w:rPr>
                      <w:rFonts w:hint="eastAsia" w:ascii="Times New Roman" w:hAnsi="Times New Roman" w:cs="Times New Roman"/>
                      <w:highlight w:val="none"/>
                    </w:rPr>
                    <w:t>该项目报告表经批准后，项目的性质、规模、地点、或者防治污染的措施发生重大变动的，应当重新报批该项目的环境影响报告。自报告表批复文件批准之日起超过</w:t>
                  </w:r>
                  <w:r>
                    <w:rPr>
                      <w:rFonts w:ascii="Times New Roman" w:hAnsi="Times New Roman" w:cs="Times New Roman"/>
                      <w:highlight w:val="none"/>
                    </w:rPr>
                    <w:t xml:space="preserve">5 </w:t>
                  </w:r>
                  <w:r>
                    <w:rPr>
                      <w:rFonts w:hint="eastAsia" w:ascii="Times New Roman" w:hAnsi="Times New Roman" w:cs="Times New Roman"/>
                      <w:highlight w:val="none"/>
                    </w:rPr>
                    <w:t>年，方决定该项目开工建设的，报告表应当报我局重新审核</w:t>
                  </w:r>
                </w:p>
              </w:tc>
              <w:tc>
                <w:tcPr>
                  <w:tcW w:w="3197" w:type="dxa"/>
                  <w:vAlign w:val="center"/>
                </w:tcPr>
                <w:p w14:paraId="78D5F46B">
                  <w:pPr>
                    <w:spacing w:line="276" w:lineRule="auto"/>
                    <w:outlineLvl w:val="0"/>
                    <w:rPr>
                      <w:rFonts w:ascii="Times New Roman" w:hAnsi="Times New Roman" w:cs="Times New Roman"/>
                      <w:highlight w:val="none"/>
                    </w:rPr>
                  </w:pPr>
                  <w:r>
                    <w:rPr>
                      <w:rFonts w:hint="eastAsia" w:ascii="Times New Roman" w:hAnsi="Times New Roman" w:eastAsia="宋体" w:cs="Times New Roman"/>
                      <w:bCs/>
                      <w:szCs w:val="21"/>
                      <w:highlight w:val="none"/>
                    </w:rPr>
                    <w:t>本项目的性质、规模、地点、或者防治污染的措施未发生重大变动；本项目已建设完成。</w:t>
                  </w:r>
                </w:p>
              </w:tc>
              <w:tc>
                <w:tcPr>
                  <w:tcW w:w="1019" w:type="dxa"/>
                  <w:vAlign w:val="center"/>
                </w:tcPr>
                <w:p w14:paraId="2A21EA36">
                  <w:pPr>
                    <w:spacing w:line="276" w:lineRule="auto"/>
                    <w:outlineLvl w:val="0"/>
                    <w:rPr>
                      <w:rFonts w:ascii="Times New Roman" w:hAnsi="Times New Roman" w:eastAsia="宋体" w:cs="Times New Roman"/>
                      <w:bCs/>
                      <w:szCs w:val="21"/>
                      <w:highlight w:val="none"/>
                    </w:rPr>
                  </w:pPr>
                  <w:r>
                    <w:rPr>
                      <w:rFonts w:hint="eastAsia" w:ascii="Times New Roman" w:hAnsi="Times New Roman" w:eastAsia="宋体" w:cs="Times New Roman"/>
                      <w:bCs/>
                      <w:szCs w:val="21"/>
                      <w:highlight w:val="none"/>
                    </w:rPr>
                    <w:t>已落实环评批复要求</w:t>
                  </w:r>
                </w:p>
              </w:tc>
            </w:tr>
          </w:tbl>
          <w:p w14:paraId="591FBA2E">
            <w:pPr>
              <w:spacing w:line="276" w:lineRule="auto"/>
              <w:ind w:firstLine="480" w:firstLineChars="200"/>
              <w:jc w:val="left"/>
              <w:outlineLvl w:val="0"/>
              <w:rPr>
                <w:sz w:val="24"/>
                <w:szCs w:val="24"/>
                <w:highlight w:val="none"/>
              </w:rPr>
            </w:pPr>
          </w:p>
          <w:p w14:paraId="361ED83E">
            <w:pPr>
              <w:spacing w:line="276" w:lineRule="auto"/>
              <w:ind w:firstLine="480" w:firstLineChars="200"/>
              <w:jc w:val="left"/>
              <w:outlineLvl w:val="0"/>
              <w:rPr>
                <w:rFonts w:ascii="Times New Roman" w:hAnsi="Times New Roman" w:cs="Times New Roman"/>
                <w:sz w:val="28"/>
                <w:szCs w:val="28"/>
                <w:highlight w:val="none"/>
              </w:rPr>
            </w:pPr>
            <w:r>
              <w:rPr>
                <w:sz w:val="24"/>
                <w:szCs w:val="24"/>
                <w:highlight w:val="none"/>
              </w:rPr>
              <w:t>与原环评结论和环评批文要求核对后可知，本</w:t>
            </w:r>
            <w:r>
              <w:rPr>
                <w:rFonts w:hint="eastAsia"/>
                <w:sz w:val="24"/>
                <w:szCs w:val="24"/>
                <w:highlight w:val="none"/>
              </w:rPr>
              <w:t>项目实际建设内容已落实环评批复的各项要求。</w:t>
            </w:r>
          </w:p>
          <w:p w14:paraId="7C52C824">
            <w:pPr>
              <w:spacing w:line="276" w:lineRule="auto"/>
              <w:jc w:val="left"/>
              <w:outlineLvl w:val="0"/>
              <w:rPr>
                <w:rFonts w:ascii="Times New Roman" w:hAnsi="Times New Roman" w:cs="Times New Roman"/>
                <w:sz w:val="28"/>
                <w:szCs w:val="28"/>
                <w:highlight w:val="none"/>
              </w:rPr>
            </w:pPr>
          </w:p>
          <w:p w14:paraId="15A1D764">
            <w:pPr>
              <w:spacing w:line="276" w:lineRule="auto"/>
              <w:jc w:val="left"/>
              <w:outlineLvl w:val="0"/>
              <w:rPr>
                <w:rFonts w:ascii="Times New Roman" w:hAnsi="Times New Roman" w:cs="Times New Roman"/>
                <w:sz w:val="28"/>
                <w:szCs w:val="28"/>
                <w:highlight w:val="yellow"/>
              </w:rPr>
            </w:pPr>
          </w:p>
        </w:tc>
      </w:tr>
    </w:tbl>
    <w:p w14:paraId="72576266">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p>
    <w:p w14:paraId="5A6234F4">
      <w:pPr>
        <w:spacing w:line="276" w:lineRule="auto"/>
        <w:jc w:val="left"/>
        <w:outlineLvl w:val="0"/>
        <w:rPr>
          <w:rFonts w:ascii="Times New Roman" w:hAnsi="Times New Roman" w:cs="Times New Roman"/>
          <w:sz w:val="28"/>
          <w:szCs w:val="28"/>
          <w:highlight w:val="none"/>
        </w:rPr>
      </w:pPr>
      <w:r>
        <w:rPr>
          <w:rFonts w:ascii="Times New Roman" w:hAnsi="Times New Roman" w:cs="Times New Roman"/>
          <w:sz w:val="28"/>
          <w:szCs w:val="28"/>
          <w:highlight w:val="none"/>
        </w:rPr>
        <w:t>表五</w:t>
      </w:r>
      <w:bookmarkEnd w:id="32"/>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5DF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0B92736">
            <w:pPr>
              <w:spacing w:line="276" w:lineRule="auto"/>
              <w:jc w:val="left"/>
              <w:outlineLvl w:val="0"/>
              <w:rPr>
                <w:rFonts w:ascii="Times New Roman" w:hAnsi="Times New Roman" w:cs="Times New Roman"/>
                <w:sz w:val="28"/>
                <w:szCs w:val="28"/>
                <w:highlight w:val="none"/>
              </w:rPr>
            </w:pPr>
            <w:bookmarkStart w:id="33" w:name="_Toc112582541"/>
            <w:r>
              <w:rPr>
                <w:rFonts w:ascii="Times New Roman" w:hAnsi="Times New Roman" w:cs="Times New Roman"/>
                <w:sz w:val="28"/>
                <w:szCs w:val="28"/>
                <w:highlight w:val="none"/>
              </w:rPr>
              <w:t>验收监测质量保证及质量控制：</w:t>
            </w:r>
            <w:bookmarkEnd w:id="33"/>
          </w:p>
          <w:p w14:paraId="4CE34338">
            <w:pPr>
              <w:spacing w:line="360" w:lineRule="auto"/>
              <w:ind w:firstLine="480" w:firstLineChars="200"/>
              <w:jc w:val="left"/>
              <w:outlineLvl w:val="0"/>
              <w:rPr>
                <w:rFonts w:ascii="Times New Roman" w:hAnsi="Times New Roman" w:cs="Times New Roman"/>
                <w:sz w:val="24"/>
                <w:szCs w:val="24"/>
                <w:highlight w:val="yellow"/>
              </w:rPr>
            </w:pPr>
            <w:bookmarkStart w:id="34" w:name="_Toc112582542"/>
            <w:r>
              <w:rPr>
                <w:rFonts w:ascii="Times New Roman" w:hAnsi="Times New Roman" w:cs="Times New Roman"/>
                <w:sz w:val="24"/>
                <w:szCs w:val="24"/>
                <w:highlight w:val="none"/>
              </w:rPr>
              <w:t>本次验收噪声监测委托有资质单位</w:t>
            </w:r>
            <w:r>
              <w:rPr>
                <w:rFonts w:hint="eastAsia" w:ascii="Times New Roman" w:hAnsi="Times New Roman" w:cs="Times New Roman"/>
                <w:sz w:val="24"/>
                <w:szCs w:val="24"/>
                <w:highlight w:val="none"/>
                <w:lang w:eastAsia="zh-CN"/>
              </w:rPr>
              <w:t>天津华测检测技术有限公司</w:t>
            </w:r>
            <w:r>
              <w:rPr>
                <w:rFonts w:ascii="Times New Roman" w:hAnsi="Times New Roman" w:cs="Times New Roman"/>
                <w:sz w:val="24"/>
                <w:szCs w:val="24"/>
                <w:highlight w:val="none"/>
              </w:rPr>
              <w:t>。</w:t>
            </w:r>
            <w:bookmarkEnd w:id="34"/>
          </w:p>
          <w:p w14:paraId="20A744C2">
            <w:pPr>
              <w:spacing w:line="276" w:lineRule="auto"/>
              <w:jc w:val="left"/>
              <w:outlineLvl w:val="0"/>
              <w:rPr>
                <w:rFonts w:ascii="Times New Roman" w:hAnsi="Times New Roman" w:cs="Times New Roman"/>
                <w:sz w:val="24"/>
                <w:szCs w:val="24"/>
                <w:highlight w:val="none"/>
              </w:rPr>
            </w:pPr>
            <w:bookmarkStart w:id="35" w:name="_Toc112582543"/>
            <w:r>
              <w:rPr>
                <w:rFonts w:ascii="Times New Roman" w:hAnsi="Times New Roman" w:cs="Times New Roman"/>
                <w:sz w:val="24"/>
                <w:szCs w:val="24"/>
                <w:highlight w:val="none"/>
              </w:rPr>
              <w:t>5.1、监测分析方法</w:t>
            </w:r>
            <w:bookmarkEnd w:id="35"/>
          </w:p>
          <w:p w14:paraId="0906879F">
            <w:pPr>
              <w:spacing w:before="156" w:beforeLines="50" w:line="276" w:lineRule="auto"/>
              <w:jc w:val="center"/>
              <w:outlineLvl w:val="0"/>
              <w:rPr>
                <w:rFonts w:ascii="Times New Roman" w:hAnsi="Times New Roman" w:cs="Times New Roman"/>
                <w:sz w:val="24"/>
                <w:szCs w:val="24"/>
                <w:highlight w:val="none"/>
              </w:rPr>
            </w:pPr>
            <w:bookmarkStart w:id="36" w:name="_Toc112582544"/>
            <w:r>
              <w:rPr>
                <w:rFonts w:ascii="Times New Roman" w:hAnsi="Times New Roman" w:cs="Times New Roman"/>
                <w:sz w:val="24"/>
                <w:szCs w:val="24"/>
                <w:highlight w:val="none"/>
              </w:rPr>
              <w:t>表5-1  监测方法依据</w:t>
            </w:r>
            <w:bookmarkEnd w:id="36"/>
            <w:r>
              <w:rPr>
                <w:rFonts w:ascii="Times New Roman" w:hAnsi="Times New Roman" w:cs="Times New Roman"/>
                <w:sz w:val="24"/>
                <w:szCs w:val="24"/>
                <w:highlight w:val="none"/>
              </w:rPr>
              <w:t>及依据</w:t>
            </w:r>
          </w:p>
          <w:tbl>
            <w:tblPr>
              <w:tblStyle w:val="77"/>
              <w:tblW w:w="82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74"/>
              <w:gridCol w:w="1252"/>
              <w:gridCol w:w="2826"/>
              <w:gridCol w:w="1128"/>
              <w:gridCol w:w="2038"/>
            </w:tblGrid>
            <w:tr w14:paraId="01CC7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74" w:type="dxa"/>
                  <w:vAlign w:val="top"/>
                </w:tcPr>
                <w:p w14:paraId="56D2457D">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检测类别</w:t>
                  </w:r>
                </w:p>
              </w:tc>
              <w:tc>
                <w:tcPr>
                  <w:tcW w:w="1252" w:type="dxa"/>
                  <w:vAlign w:val="top"/>
                </w:tcPr>
                <w:p w14:paraId="63322E54">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检测项目</w:t>
                  </w:r>
                </w:p>
              </w:tc>
              <w:tc>
                <w:tcPr>
                  <w:tcW w:w="2826" w:type="dxa"/>
                  <w:vAlign w:val="top"/>
                </w:tcPr>
                <w:p w14:paraId="28050B85">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检测依据</w:t>
                  </w:r>
                </w:p>
              </w:tc>
              <w:tc>
                <w:tcPr>
                  <w:tcW w:w="1128" w:type="dxa"/>
                  <w:vAlign w:val="top"/>
                </w:tcPr>
                <w:p w14:paraId="760BCA98">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检出限</w:t>
                  </w:r>
                </w:p>
              </w:tc>
              <w:tc>
                <w:tcPr>
                  <w:tcW w:w="2038" w:type="dxa"/>
                  <w:vAlign w:val="top"/>
                </w:tcPr>
                <w:p w14:paraId="1A33EF55">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设备名称</w:t>
                  </w:r>
                </w:p>
              </w:tc>
            </w:tr>
            <w:tr w14:paraId="2F376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974" w:type="dxa"/>
                  <w:shd w:val="clear" w:color="auto" w:fill="auto"/>
                  <w:vAlign w:val="center"/>
                </w:tcPr>
                <w:p w14:paraId="1514AAEE">
                  <w:pPr>
                    <w:widowControl/>
                    <w:snapToGrid w:val="0"/>
                    <w:spacing w:line="276" w:lineRule="auto"/>
                    <w:jc w:val="center"/>
                    <w:textAlignment w:val="center"/>
                    <w:rPr>
                      <w:rFonts w:hint="eastAsia" w:ascii="Times New Roman" w:hAnsi="Times New Roman"/>
                      <w:szCs w:val="21"/>
                      <w:highlight w:val="none"/>
                      <w:lang w:val="en-US" w:eastAsia="en-US"/>
                    </w:rPr>
                  </w:pPr>
                  <w:r>
                    <w:rPr>
                      <w:rFonts w:hint="eastAsia" w:ascii="Times New Roman" w:hAnsi="Times New Roman"/>
                      <w:szCs w:val="21"/>
                      <w:highlight w:val="none"/>
                    </w:rPr>
                    <w:t>噪声</w:t>
                  </w:r>
                </w:p>
              </w:tc>
              <w:tc>
                <w:tcPr>
                  <w:tcW w:w="1252" w:type="dxa"/>
                  <w:shd w:val="clear" w:color="auto" w:fill="auto"/>
                  <w:vAlign w:val="center"/>
                </w:tcPr>
                <w:p w14:paraId="27D3C060">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厂界</w:t>
                  </w:r>
                </w:p>
                <w:p w14:paraId="03B65FD7">
                  <w:pPr>
                    <w:widowControl/>
                    <w:snapToGrid w:val="0"/>
                    <w:spacing w:line="276" w:lineRule="auto"/>
                    <w:jc w:val="center"/>
                    <w:textAlignment w:val="center"/>
                    <w:rPr>
                      <w:rFonts w:hint="eastAsia" w:ascii="Times New Roman" w:hAnsi="Times New Roman"/>
                      <w:szCs w:val="21"/>
                      <w:highlight w:val="none"/>
                      <w:lang w:val="en-US" w:eastAsia="en-US"/>
                    </w:rPr>
                  </w:pPr>
                  <w:r>
                    <w:rPr>
                      <w:rFonts w:hint="eastAsia" w:ascii="Times New Roman" w:hAnsi="Times New Roman"/>
                      <w:szCs w:val="21"/>
                      <w:highlight w:val="none"/>
                    </w:rPr>
                    <w:t>环境噪声</w:t>
                  </w:r>
                </w:p>
              </w:tc>
              <w:tc>
                <w:tcPr>
                  <w:tcW w:w="2826" w:type="dxa"/>
                  <w:shd w:val="clear" w:color="auto" w:fill="auto"/>
                  <w:vAlign w:val="center"/>
                </w:tcPr>
                <w:p w14:paraId="3D857821">
                  <w:pPr>
                    <w:widowControl/>
                    <w:snapToGrid w:val="0"/>
                    <w:spacing w:line="276" w:lineRule="auto"/>
                    <w:jc w:val="center"/>
                    <w:textAlignment w:val="center"/>
                    <w:rPr>
                      <w:rFonts w:hint="eastAsia" w:ascii="Times New Roman" w:hAnsi="Times New Roman"/>
                      <w:szCs w:val="21"/>
                      <w:highlight w:val="none"/>
                      <w:lang w:val="en-US" w:eastAsia="zh-CN"/>
                    </w:rPr>
                  </w:pPr>
                  <w:r>
                    <w:rPr>
                      <w:rFonts w:hint="eastAsia" w:ascii="Times New Roman" w:hAnsi="Times New Roman"/>
                      <w:szCs w:val="21"/>
                      <w:highlight w:val="none"/>
                    </w:rPr>
                    <w:t>《工业企业厂界环境噪声排放标准》GB 12348-2008</w:t>
                  </w:r>
                </w:p>
              </w:tc>
              <w:tc>
                <w:tcPr>
                  <w:tcW w:w="1128" w:type="dxa"/>
                  <w:shd w:val="clear" w:color="auto" w:fill="auto"/>
                  <w:vAlign w:val="center"/>
                </w:tcPr>
                <w:p w14:paraId="014B94C4">
                  <w:pPr>
                    <w:widowControl/>
                    <w:snapToGrid w:val="0"/>
                    <w:spacing w:line="276" w:lineRule="auto"/>
                    <w:jc w:val="center"/>
                    <w:textAlignment w:val="center"/>
                    <w:rPr>
                      <w:rFonts w:hint="eastAsia" w:ascii="Times New Roman" w:hAnsi="Times New Roman"/>
                      <w:szCs w:val="21"/>
                      <w:highlight w:val="none"/>
                      <w:lang w:val="en-US" w:eastAsia="zh-CN"/>
                    </w:rPr>
                  </w:pPr>
                  <w:r>
                    <w:rPr>
                      <w:rFonts w:hint="eastAsia" w:ascii="Times New Roman" w:hAnsi="Times New Roman"/>
                      <w:szCs w:val="21"/>
                      <w:highlight w:val="none"/>
                    </w:rPr>
                    <w:t>/</w:t>
                  </w:r>
                </w:p>
              </w:tc>
              <w:tc>
                <w:tcPr>
                  <w:tcW w:w="2038" w:type="dxa"/>
                  <w:shd w:val="clear" w:color="auto" w:fill="auto"/>
                  <w:vAlign w:val="center"/>
                </w:tcPr>
                <w:p w14:paraId="4F16753F">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 xml:space="preserve">多功能声级计 </w:t>
                  </w:r>
                </w:p>
                <w:p w14:paraId="63C670FD">
                  <w:pPr>
                    <w:widowControl/>
                    <w:snapToGrid w:val="0"/>
                    <w:spacing w:line="276" w:lineRule="auto"/>
                    <w:jc w:val="center"/>
                    <w:textAlignment w:val="center"/>
                    <w:rPr>
                      <w:rFonts w:hint="eastAsia" w:ascii="Times New Roman" w:hAnsi="Times New Roman"/>
                      <w:szCs w:val="21"/>
                      <w:highlight w:val="none"/>
                      <w:lang w:val="en-US" w:eastAsia="en-US"/>
                    </w:rPr>
                  </w:pPr>
                  <w:r>
                    <w:rPr>
                      <w:rFonts w:hint="eastAsia" w:ascii="Times New Roman" w:hAnsi="Times New Roman"/>
                      <w:szCs w:val="21"/>
                      <w:highlight w:val="none"/>
                    </w:rPr>
                    <w:t>声校准器</w:t>
                  </w:r>
                </w:p>
              </w:tc>
            </w:tr>
          </w:tbl>
          <w:p w14:paraId="06E72ABF">
            <w:pPr>
              <w:pStyle w:val="5"/>
              <w:ind w:left="0" w:leftChars="0" w:firstLine="0" w:firstLineChars="0"/>
              <w:rPr>
                <w:rFonts w:ascii="Times New Roman" w:hAnsi="Times New Roman" w:cs="Times New Roman"/>
                <w:sz w:val="24"/>
                <w:szCs w:val="24"/>
                <w:highlight w:val="yellow"/>
              </w:rPr>
            </w:pPr>
          </w:p>
          <w:p w14:paraId="64B5920F">
            <w:pPr>
              <w:spacing w:line="276" w:lineRule="auto"/>
              <w:jc w:val="left"/>
              <w:outlineLvl w:val="0"/>
              <w:rPr>
                <w:rFonts w:hint="default" w:ascii="Times New Roman" w:hAnsi="Times New Roman" w:cs="Times New Roman" w:eastAsiaTheme="minorEastAsia"/>
                <w:sz w:val="24"/>
                <w:szCs w:val="24"/>
                <w:highlight w:val="none"/>
                <w:lang w:val="en-US" w:eastAsia="zh-CN"/>
              </w:rPr>
            </w:pPr>
            <w:bookmarkStart w:id="37" w:name="_Toc112582546"/>
            <w:r>
              <w:rPr>
                <w:rFonts w:ascii="Times New Roman" w:hAnsi="Times New Roman" w:cs="Times New Roman"/>
                <w:sz w:val="24"/>
                <w:szCs w:val="24"/>
                <w:highlight w:val="none"/>
              </w:rPr>
              <w:t>5.</w:t>
            </w:r>
            <w:r>
              <w:rPr>
                <w:rFonts w:hint="eastAsia" w:ascii="Times New Roman" w:hAnsi="Times New Roman" w:cs="Times New Roman"/>
                <w:sz w:val="24"/>
                <w:szCs w:val="24"/>
                <w:highlight w:val="none"/>
                <w:lang w:val="en-US" w:eastAsia="zh-CN"/>
              </w:rPr>
              <w:t>2</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监测仪器</w:t>
            </w:r>
          </w:p>
          <w:p w14:paraId="7A3276E3">
            <w:pPr>
              <w:spacing w:before="156" w:beforeLines="50" w:line="276" w:lineRule="auto"/>
              <w:jc w:val="center"/>
              <w:outlineLvl w:val="0"/>
              <w:rPr>
                <w:rFonts w:hint="default" w:ascii="Times New Roman" w:hAnsi="Times New Roman" w:cs="Times New Roman" w:eastAsiaTheme="minorEastAsia"/>
                <w:sz w:val="24"/>
                <w:szCs w:val="24"/>
                <w:highlight w:val="none"/>
                <w:lang w:val="en-US" w:eastAsia="zh-CN"/>
              </w:rPr>
            </w:pPr>
            <w:r>
              <w:rPr>
                <w:rFonts w:ascii="Times New Roman" w:hAnsi="Times New Roman" w:cs="Times New Roman"/>
                <w:sz w:val="24"/>
                <w:szCs w:val="24"/>
                <w:highlight w:val="none"/>
              </w:rPr>
              <w:t>表5-</w:t>
            </w:r>
            <w:r>
              <w:rPr>
                <w:rFonts w:hint="eastAsia" w:ascii="Times New Roman" w:hAnsi="Times New Roman" w:cs="Times New Roman"/>
                <w:sz w:val="24"/>
                <w:szCs w:val="24"/>
                <w:highlight w:val="none"/>
                <w:lang w:val="en-US" w:eastAsia="zh-CN"/>
              </w:rPr>
              <w:t>2监测仪器情况表</w:t>
            </w:r>
          </w:p>
          <w:tbl>
            <w:tblPr>
              <w:tblStyle w:val="77"/>
              <w:tblW w:w="81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814"/>
              <w:gridCol w:w="2577"/>
              <w:gridCol w:w="2727"/>
            </w:tblGrid>
            <w:tr w14:paraId="322AA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814" w:type="dxa"/>
                  <w:vAlign w:val="center"/>
                </w:tcPr>
                <w:p w14:paraId="657FEBA5">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设备名称</w:t>
                  </w:r>
                </w:p>
              </w:tc>
              <w:tc>
                <w:tcPr>
                  <w:tcW w:w="2577" w:type="dxa"/>
                  <w:vAlign w:val="top"/>
                </w:tcPr>
                <w:p w14:paraId="15A575AE">
                  <w:pPr>
                    <w:widowControl/>
                    <w:snapToGrid w:val="0"/>
                    <w:spacing w:line="276" w:lineRule="auto"/>
                    <w:jc w:val="center"/>
                    <w:textAlignment w:val="center"/>
                    <w:rPr>
                      <w:rFonts w:hint="eastAsia" w:ascii="Times New Roman" w:hAnsi="Times New Roman"/>
                      <w:szCs w:val="21"/>
                      <w:highlight w:val="none"/>
                    </w:rPr>
                  </w:pPr>
                  <w:r>
                    <w:rPr>
                      <w:rFonts w:hint="eastAsia" w:ascii="Times New Roman" w:hAnsi="Times New Roman"/>
                      <w:szCs w:val="21"/>
                      <w:highlight w:val="none"/>
                    </w:rPr>
                    <w:t>设备型号</w:t>
                  </w:r>
                </w:p>
              </w:tc>
              <w:tc>
                <w:tcPr>
                  <w:tcW w:w="2727" w:type="dxa"/>
                  <w:vAlign w:val="top"/>
                </w:tcPr>
                <w:p w14:paraId="126CAC29">
                  <w:pPr>
                    <w:widowControl/>
                    <w:snapToGrid w:val="0"/>
                    <w:spacing w:line="276" w:lineRule="auto"/>
                    <w:jc w:val="center"/>
                    <w:textAlignment w:val="center"/>
                    <w:rPr>
                      <w:rFonts w:hint="default" w:ascii="Times New Roman" w:hAnsi="Times New Roman" w:eastAsiaTheme="minorEastAsia"/>
                      <w:szCs w:val="21"/>
                      <w:highlight w:val="none"/>
                      <w:lang w:val="en-US" w:eastAsia="zh-CN"/>
                    </w:rPr>
                  </w:pPr>
                  <w:r>
                    <w:rPr>
                      <w:rFonts w:hint="eastAsia" w:ascii="Times New Roman" w:hAnsi="Times New Roman"/>
                      <w:szCs w:val="21"/>
                      <w:highlight w:val="none"/>
                      <w:lang w:val="en-US" w:eastAsia="zh-CN"/>
                    </w:rPr>
                    <w:t>实验室编号</w:t>
                  </w:r>
                </w:p>
              </w:tc>
            </w:tr>
            <w:tr w14:paraId="12650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2814" w:type="dxa"/>
                  <w:vAlign w:val="center"/>
                </w:tcPr>
                <w:p w14:paraId="1C04A2AC">
                  <w:pPr>
                    <w:widowControl/>
                    <w:snapToGrid w:val="0"/>
                    <w:spacing w:line="276" w:lineRule="auto"/>
                    <w:jc w:val="center"/>
                    <w:textAlignment w:val="center"/>
                    <w:rPr>
                      <w:rFonts w:hint="default" w:ascii="Times New Roman" w:hAnsi="Times New Roman" w:eastAsiaTheme="minorEastAsia"/>
                      <w:szCs w:val="21"/>
                      <w:highlight w:val="none"/>
                      <w:lang w:val="en-US" w:eastAsia="zh-CN"/>
                    </w:rPr>
                  </w:pPr>
                  <w:r>
                    <w:rPr>
                      <w:rFonts w:hint="eastAsia" w:ascii="Times New Roman" w:hAnsi="Times New Roman"/>
                      <w:szCs w:val="21"/>
                      <w:highlight w:val="none"/>
                      <w:lang w:val="en-US" w:eastAsia="zh-CN"/>
                    </w:rPr>
                    <w:t>声校准器</w:t>
                  </w:r>
                </w:p>
              </w:tc>
              <w:tc>
                <w:tcPr>
                  <w:tcW w:w="2577" w:type="dxa"/>
                  <w:vAlign w:val="center"/>
                </w:tcPr>
                <w:p w14:paraId="65089614">
                  <w:pPr>
                    <w:widowControl/>
                    <w:snapToGrid w:val="0"/>
                    <w:spacing w:line="276" w:lineRule="auto"/>
                    <w:jc w:val="center"/>
                    <w:textAlignment w:val="center"/>
                    <w:rPr>
                      <w:rFonts w:hint="default" w:ascii="Times New Roman" w:hAnsi="Times New Roman" w:eastAsiaTheme="minorEastAsia"/>
                      <w:szCs w:val="21"/>
                      <w:highlight w:val="none"/>
                      <w:lang w:val="en-US" w:eastAsia="zh-CN"/>
                    </w:rPr>
                  </w:pPr>
                  <w:r>
                    <w:rPr>
                      <w:rFonts w:hint="eastAsia" w:ascii="Times New Roman" w:hAnsi="Times New Roman"/>
                      <w:szCs w:val="21"/>
                      <w:highlight w:val="none"/>
                      <w:lang w:val="en-US" w:eastAsia="zh-CN"/>
                    </w:rPr>
                    <w:t>AWA6021</w:t>
                  </w:r>
                </w:p>
              </w:tc>
              <w:tc>
                <w:tcPr>
                  <w:tcW w:w="2727" w:type="dxa"/>
                  <w:vAlign w:val="top"/>
                </w:tcPr>
                <w:p w14:paraId="4FE3F784">
                  <w:pPr>
                    <w:widowControl/>
                    <w:snapToGrid w:val="0"/>
                    <w:spacing w:line="276" w:lineRule="auto"/>
                    <w:jc w:val="center"/>
                    <w:textAlignment w:val="center"/>
                    <w:rPr>
                      <w:rFonts w:hint="default" w:ascii="Times New Roman" w:hAnsi="Times New Roman" w:eastAsiaTheme="minorEastAsia"/>
                      <w:szCs w:val="21"/>
                      <w:highlight w:val="none"/>
                      <w:lang w:val="en-US" w:eastAsia="zh-CN"/>
                    </w:rPr>
                  </w:pPr>
                  <w:r>
                    <w:rPr>
                      <w:rFonts w:hint="eastAsia" w:ascii="Times New Roman" w:hAnsi="Times New Roman"/>
                      <w:szCs w:val="21"/>
                      <w:highlight w:val="none"/>
                      <w:lang w:val="en-US" w:eastAsia="zh-CN"/>
                    </w:rPr>
                    <w:t>TTE20244430</w:t>
                  </w:r>
                </w:p>
              </w:tc>
            </w:tr>
            <w:tr w14:paraId="1FE5F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2814" w:type="dxa"/>
                  <w:vAlign w:val="center"/>
                </w:tcPr>
                <w:p w14:paraId="07F5C106">
                  <w:pPr>
                    <w:widowControl/>
                    <w:snapToGrid w:val="0"/>
                    <w:spacing w:line="276" w:lineRule="auto"/>
                    <w:jc w:val="center"/>
                    <w:textAlignment w:val="center"/>
                    <w:rPr>
                      <w:rFonts w:hint="default" w:ascii="Times New Roman" w:hAnsi="Times New Roman" w:eastAsiaTheme="minorEastAsia"/>
                      <w:szCs w:val="21"/>
                      <w:highlight w:val="none"/>
                      <w:lang w:val="en-US" w:eastAsia="zh-CN"/>
                    </w:rPr>
                  </w:pPr>
                  <w:r>
                    <w:rPr>
                      <w:rFonts w:hint="eastAsia" w:ascii="Times New Roman" w:hAnsi="Times New Roman"/>
                      <w:szCs w:val="21"/>
                      <w:highlight w:val="none"/>
                      <w:lang w:val="en-US" w:eastAsia="zh-CN"/>
                    </w:rPr>
                    <w:t>多功能声级计</w:t>
                  </w:r>
                </w:p>
              </w:tc>
              <w:tc>
                <w:tcPr>
                  <w:tcW w:w="2577" w:type="dxa"/>
                  <w:vAlign w:val="center"/>
                </w:tcPr>
                <w:p w14:paraId="4F36C624">
                  <w:pPr>
                    <w:widowControl/>
                    <w:snapToGrid w:val="0"/>
                    <w:spacing w:line="276" w:lineRule="auto"/>
                    <w:jc w:val="center"/>
                    <w:textAlignment w:val="center"/>
                    <w:rPr>
                      <w:rFonts w:hint="default" w:ascii="Times New Roman" w:hAnsi="Times New Roman" w:eastAsiaTheme="minorEastAsia"/>
                      <w:szCs w:val="21"/>
                      <w:highlight w:val="none"/>
                      <w:lang w:val="en-US" w:eastAsia="zh-CN"/>
                    </w:rPr>
                  </w:pPr>
                  <w:r>
                    <w:rPr>
                      <w:rFonts w:hint="eastAsia" w:ascii="Times New Roman" w:hAnsi="Times New Roman"/>
                      <w:szCs w:val="21"/>
                      <w:highlight w:val="none"/>
                      <w:lang w:val="en-US" w:eastAsia="zh-CN"/>
                    </w:rPr>
                    <w:t>AWA5688</w:t>
                  </w:r>
                </w:p>
              </w:tc>
              <w:tc>
                <w:tcPr>
                  <w:tcW w:w="2727" w:type="dxa"/>
                  <w:vAlign w:val="top"/>
                </w:tcPr>
                <w:p w14:paraId="36BD0769">
                  <w:pPr>
                    <w:widowControl/>
                    <w:snapToGrid w:val="0"/>
                    <w:spacing w:line="276" w:lineRule="auto"/>
                    <w:jc w:val="center"/>
                    <w:textAlignment w:val="center"/>
                    <w:rPr>
                      <w:rFonts w:hint="default" w:ascii="Times New Roman" w:hAnsi="Times New Roman"/>
                      <w:szCs w:val="21"/>
                      <w:highlight w:val="none"/>
                      <w:lang w:val="en-US"/>
                    </w:rPr>
                  </w:pPr>
                  <w:r>
                    <w:rPr>
                      <w:rFonts w:hint="eastAsia" w:ascii="Times New Roman" w:hAnsi="Times New Roman"/>
                      <w:szCs w:val="21"/>
                      <w:highlight w:val="none"/>
                      <w:lang w:val="en-US" w:eastAsia="zh-CN"/>
                    </w:rPr>
                    <w:t>TTE20170115</w:t>
                  </w:r>
                </w:p>
              </w:tc>
            </w:tr>
            <w:tr w14:paraId="64422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2814" w:type="dxa"/>
                  <w:vAlign w:val="center"/>
                </w:tcPr>
                <w:p w14:paraId="11565148">
                  <w:pPr>
                    <w:widowControl/>
                    <w:snapToGrid w:val="0"/>
                    <w:spacing w:line="276" w:lineRule="auto"/>
                    <w:jc w:val="center"/>
                    <w:textAlignment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无组织五参数气象参数仪</w:t>
                  </w:r>
                </w:p>
              </w:tc>
              <w:tc>
                <w:tcPr>
                  <w:tcW w:w="2577" w:type="dxa"/>
                  <w:vAlign w:val="center"/>
                </w:tcPr>
                <w:p w14:paraId="2BFA4857">
                  <w:pPr>
                    <w:widowControl/>
                    <w:snapToGrid w:val="0"/>
                    <w:spacing w:line="276" w:lineRule="auto"/>
                    <w:jc w:val="center"/>
                    <w:textAlignment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YGY-QXM</w:t>
                  </w:r>
                </w:p>
              </w:tc>
              <w:tc>
                <w:tcPr>
                  <w:tcW w:w="2727" w:type="dxa"/>
                  <w:vAlign w:val="top"/>
                </w:tcPr>
                <w:p w14:paraId="680E8AFD">
                  <w:pPr>
                    <w:widowControl/>
                    <w:snapToGrid w:val="0"/>
                    <w:spacing w:line="276" w:lineRule="auto"/>
                    <w:jc w:val="center"/>
                    <w:textAlignment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TTE20243937</w:t>
                  </w:r>
                </w:p>
              </w:tc>
            </w:tr>
          </w:tbl>
          <w:p w14:paraId="33AD5D73">
            <w:pPr>
              <w:spacing w:line="360" w:lineRule="auto"/>
              <w:jc w:val="left"/>
              <w:outlineLvl w:val="0"/>
              <w:rPr>
                <w:rFonts w:ascii="Times New Roman" w:hAnsi="Times New Roman" w:cs="Times New Roman"/>
                <w:sz w:val="24"/>
                <w:szCs w:val="24"/>
                <w:highlight w:val="none"/>
              </w:rPr>
            </w:pPr>
            <w:r>
              <w:rPr>
                <w:rFonts w:ascii="Times New Roman" w:hAnsi="Times New Roman" w:cs="Times New Roman"/>
                <w:sz w:val="24"/>
                <w:szCs w:val="24"/>
                <w:highlight w:val="none"/>
              </w:rPr>
              <w:t>5.</w:t>
            </w:r>
            <w:r>
              <w:rPr>
                <w:rFonts w:hint="eastAsia" w:ascii="Times New Roman" w:hAnsi="Times New Roman" w:cs="Times New Roman"/>
                <w:sz w:val="24"/>
                <w:szCs w:val="24"/>
                <w:highlight w:val="none"/>
                <w:lang w:val="en-US" w:eastAsia="zh-CN"/>
              </w:rPr>
              <w:t>3</w:t>
            </w:r>
            <w:r>
              <w:rPr>
                <w:rFonts w:ascii="Times New Roman" w:hAnsi="Times New Roman" w:cs="Times New Roman"/>
                <w:sz w:val="24"/>
                <w:szCs w:val="24"/>
                <w:highlight w:val="none"/>
              </w:rPr>
              <w:t>、人员</w:t>
            </w:r>
            <w:r>
              <w:rPr>
                <w:rFonts w:hint="eastAsia" w:ascii="Times New Roman" w:hAnsi="Times New Roman" w:cs="Times New Roman"/>
                <w:sz w:val="24"/>
                <w:szCs w:val="24"/>
                <w:highlight w:val="none"/>
                <w:lang w:val="en-US" w:eastAsia="zh-CN"/>
              </w:rPr>
              <w:t>能力</w:t>
            </w:r>
            <w:bookmarkEnd w:id="37"/>
          </w:p>
          <w:p w14:paraId="27BAD8C8">
            <w:pPr>
              <w:spacing w:line="360" w:lineRule="auto"/>
              <w:ind w:firstLine="480" w:firstLineChars="200"/>
              <w:rPr>
                <w:rFonts w:ascii="Times New Roman" w:hAnsi="Times New Roman" w:cs="Times New Roman"/>
                <w:sz w:val="28"/>
                <w:szCs w:val="28"/>
                <w:highlight w:val="none"/>
              </w:rPr>
            </w:pPr>
            <w:bookmarkStart w:id="38" w:name="_Toc535482159"/>
            <w:r>
              <w:rPr>
                <w:rFonts w:ascii="Times New Roman" w:hAnsi="Times New Roman" w:cs="Times New Roman"/>
                <w:sz w:val="24"/>
                <w:szCs w:val="24"/>
                <w:highlight w:val="none"/>
              </w:rPr>
              <w:t>验收监测人员均经过考核并持证上岗。</w:t>
            </w:r>
            <w:bookmarkEnd w:id="38"/>
          </w:p>
          <w:p w14:paraId="697E922B">
            <w:pPr>
              <w:spacing w:line="360" w:lineRule="auto"/>
              <w:jc w:val="left"/>
              <w:outlineLvl w:val="0"/>
              <w:rPr>
                <w:rFonts w:ascii="Times New Roman" w:hAnsi="Times New Roman" w:cs="Times New Roman"/>
                <w:sz w:val="24"/>
                <w:szCs w:val="24"/>
                <w:highlight w:val="none"/>
              </w:rPr>
            </w:pPr>
            <w:bookmarkStart w:id="39" w:name="_Toc112582547"/>
            <w:r>
              <w:rPr>
                <w:rFonts w:ascii="Times New Roman" w:hAnsi="Times New Roman" w:cs="Times New Roman"/>
                <w:sz w:val="24"/>
                <w:szCs w:val="24"/>
                <w:highlight w:val="none"/>
              </w:rPr>
              <w:t>5.</w:t>
            </w:r>
            <w:r>
              <w:rPr>
                <w:rFonts w:hint="eastAsia" w:ascii="Times New Roman" w:hAnsi="Times New Roman" w:cs="Times New Roman"/>
                <w:sz w:val="24"/>
                <w:szCs w:val="24"/>
                <w:highlight w:val="none"/>
                <w:lang w:val="en-US" w:eastAsia="zh-CN"/>
              </w:rPr>
              <w:t>4</w:t>
            </w:r>
            <w:r>
              <w:rPr>
                <w:rFonts w:ascii="Times New Roman" w:hAnsi="Times New Roman" w:cs="Times New Roman"/>
                <w:sz w:val="24"/>
                <w:szCs w:val="24"/>
                <w:highlight w:val="none"/>
              </w:rPr>
              <w:t>、质量保证和质量控制：</w:t>
            </w:r>
            <w:bookmarkEnd w:id="39"/>
          </w:p>
          <w:p w14:paraId="34B01659">
            <w:pPr>
              <w:spacing w:line="360" w:lineRule="auto"/>
              <w:ind w:firstLine="480" w:firstLineChars="200"/>
              <w:rPr>
                <w:rFonts w:ascii="Times New Roman" w:hAnsi="Times New Roman" w:eastAsia="宋体" w:cs="Times New Roman"/>
                <w:sz w:val="24"/>
                <w:szCs w:val="24"/>
                <w:highlight w:val="none"/>
                <w:lang w:bidi="ar"/>
              </w:rPr>
            </w:pPr>
            <w:r>
              <w:rPr>
                <w:rFonts w:hint="eastAsia" w:ascii="Times New Roman" w:hAnsi="Times New Roman" w:eastAsia="宋体" w:cs="Times New Roman"/>
                <w:sz w:val="24"/>
                <w:szCs w:val="24"/>
                <w:highlight w:val="none"/>
                <w:lang w:bidi="ar"/>
              </w:rPr>
              <w:t>（1）总则</w:t>
            </w:r>
          </w:p>
          <w:p w14:paraId="1B06E270">
            <w:pPr>
              <w:spacing w:line="360" w:lineRule="auto"/>
              <w:ind w:firstLine="480" w:firstLineChars="200"/>
              <w:rPr>
                <w:rFonts w:ascii="Times New Roman" w:hAnsi="Times New Roman" w:eastAsia="宋体" w:cs="Times New Roman"/>
                <w:sz w:val="24"/>
                <w:szCs w:val="24"/>
                <w:highlight w:val="none"/>
                <w:lang w:bidi="ar"/>
              </w:rPr>
            </w:pPr>
            <w:r>
              <w:rPr>
                <w:rFonts w:hint="eastAsia" w:ascii="Times New Roman" w:hAnsi="Times New Roman" w:eastAsia="宋体" w:cs="Times New Roman"/>
                <w:sz w:val="24"/>
                <w:szCs w:val="24"/>
                <w:highlight w:val="none"/>
                <w:lang w:bidi="ar"/>
              </w:rPr>
              <w:t>①确保验收监测在主体工程工况稳定、环境保护设施运行正常的情况下进行。</w:t>
            </w:r>
          </w:p>
          <w:p w14:paraId="1C90153C">
            <w:pPr>
              <w:spacing w:line="360" w:lineRule="auto"/>
              <w:ind w:firstLine="480" w:firstLineChars="200"/>
              <w:rPr>
                <w:rFonts w:ascii="Times New Roman" w:hAnsi="Times New Roman" w:eastAsia="宋体" w:cs="Times New Roman"/>
                <w:sz w:val="24"/>
                <w:szCs w:val="24"/>
                <w:highlight w:val="none"/>
                <w:lang w:bidi="ar"/>
              </w:rPr>
            </w:pPr>
            <w:r>
              <w:rPr>
                <w:rFonts w:hint="eastAsia" w:ascii="Times New Roman" w:hAnsi="Times New Roman" w:eastAsia="宋体" w:cs="Times New Roman"/>
                <w:sz w:val="24"/>
                <w:szCs w:val="24"/>
                <w:highlight w:val="none"/>
                <w:lang w:bidi="ar"/>
              </w:rPr>
              <w:t>②采样和分析用的各种计量仪器均应通过计量部门的检定并做好日常维护工作。</w:t>
            </w:r>
          </w:p>
          <w:p w14:paraId="0FE7F6B8">
            <w:pPr>
              <w:spacing w:line="360" w:lineRule="auto"/>
              <w:ind w:firstLine="480" w:firstLineChars="200"/>
              <w:rPr>
                <w:rFonts w:ascii="Times New Roman" w:hAnsi="Times New Roman" w:eastAsia="宋体" w:cs="Times New Roman"/>
                <w:sz w:val="24"/>
                <w:szCs w:val="24"/>
                <w:highlight w:val="none"/>
                <w:lang w:bidi="ar"/>
              </w:rPr>
            </w:pPr>
            <w:r>
              <w:rPr>
                <w:rFonts w:hint="eastAsia" w:ascii="Times New Roman" w:hAnsi="Times New Roman" w:eastAsia="宋体" w:cs="Times New Roman"/>
                <w:sz w:val="24"/>
                <w:szCs w:val="24"/>
                <w:highlight w:val="none"/>
                <w:lang w:bidi="ar"/>
              </w:rPr>
              <w:t>③实验室的计量仪器定期进行检定</w:t>
            </w:r>
            <w:r>
              <w:rPr>
                <w:rFonts w:ascii="Times New Roman" w:hAnsi="Times New Roman" w:eastAsia="宋体" w:cs="Times New Roman"/>
                <w:sz w:val="24"/>
                <w:szCs w:val="24"/>
                <w:highlight w:val="none"/>
                <w:lang w:bidi="ar"/>
              </w:rPr>
              <w:t>(</w:t>
            </w:r>
            <w:r>
              <w:rPr>
                <w:rFonts w:hint="eastAsia" w:ascii="Times New Roman" w:hAnsi="Times New Roman" w:eastAsia="宋体" w:cs="Times New Roman"/>
                <w:sz w:val="24"/>
                <w:szCs w:val="24"/>
                <w:highlight w:val="none"/>
                <w:lang w:bidi="ar"/>
              </w:rPr>
              <w:t>包括自校准</w:t>
            </w:r>
            <w:r>
              <w:rPr>
                <w:rFonts w:ascii="Times New Roman" w:hAnsi="Times New Roman" w:eastAsia="宋体" w:cs="Times New Roman"/>
                <w:sz w:val="24"/>
                <w:szCs w:val="24"/>
                <w:highlight w:val="none"/>
                <w:lang w:bidi="ar"/>
              </w:rPr>
              <w:t>)</w:t>
            </w:r>
            <w:r>
              <w:rPr>
                <w:rFonts w:hint="eastAsia" w:ascii="Times New Roman" w:hAnsi="Times New Roman" w:eastAsia="宋体" w:cs="Times New Roman"/>
                <w:sz w:val="24"/>
                <w:szCs w:val="24"/>
                <w:highlight w:val="none"/>
                <w:lang w:bidi="ar"/>
              </w:rPr>
              <w:t>和期间核查，需要控制温度、湿度条件的实验室配备了相应的设备和设施且监控手段有效。个别项目对实验室条件有特殊要求的依据相应标准的质量控制要求实施。</w:t>
            </w:r>
          </w:p>
          <w:p w14:paraId="224AE46E">
            <w:pPr>
              <w:spacing w:line="360" w:lineRule="auto"/>
              <w:ind w:firstLine="480" w:firstLineChars="200"/>
              <w:rPr>
                <w:rFonts w:ascii="Times New Roman" w:hAnsi="Times New Roman" w:cs="Times New Roman"/>
                <w:sz w:val="24"/>
                <w:szCs w:val="24"/>
                <w:highlight w:val="none"/>
              </w:rPr>
            </w:pPr>
            <w:bookmarkStart w:id="40" w:name="_Toc535482167"/>
            <w:r>
              <w:rPr>
                <w:rFonts w:hint="eastAsia" w:ascii="Times New Roman" w:hAnsi="Times New Roman" w:eastAsia="宋体" w:cs="Times New Roman"/>
                <w:sz w:val="24"/>
                <w:szCs w:val="24"/>
                <w:highlight w:val="none"/>
                <w:lang w:bidi="ar"/>
              </w:rPr>
              <w:t>（</w:t>
            </w:r>
            <w:r>
              <w:rPr>
                <w:rFonts w:hint="eastAsia" w:ascii="Times New Roman" w:hAnsi="Times New Roman" w:eastAsia="宋体" w:cs="Times New Roman"/>
                <w:sz w:val="24"/>
                <w:szCs w:val="24"/>
                <w:highlight w:val="none"/>
                <w:lang w:val="en-US" w:eastAsia="zh-CN" w:bidi="ar"/>
              </w:rPr>
              <w:t>2</w:t>
            </w:r>
            <w:r>
              <w:rPr>
                <w:rFonts w:hint="eastAsia" w:ascii="Times New Roman" w:hAnsi="Times New Roman" w:eastAsia="宋体" w:cs="Times New Roman"/>
                <w:sz w:val="24"/>
                <w:szCs w:val="24"/>
                <w:highlight w:val="none"/>
                <w:lang w:bidi="ar"/>
              </w:rPr>
              <w:t>）噪声监测分析过程中的质量保证和质量控制</w:t>
            </w:r>
            <w:bookmarkEnd w:id="40"/>
          </w:p>
          <w:p w14:paraId="67632FBE">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eastAsia="宋体" w:cs="Times New Roman"/>
                <w:sz w:val="24"/>
                <w:szCs w:val="24"/>
                <w:highlight w:val="none"/>
                <w:lang w:bidi="ar"/>
              </w:rPr>
              <w:t>①噪声检测设备在现场检测前、后均进行校准。</w:t>
            </w:r>
          </w:p>
          <w:p w14:paraId="7EB05D1B">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eastAsia="宋体" w:cs="Times New Roman"/>
                <w:sz w:val="24"/>
                <w:szCs w:val="24"/>
                <w:highlight w:val="none"/>
                <w:lang w:bidi="ar"/>
              </w:rPr>
              <w:t>②采样、分析人员均持证上岗，采样仪器和分析仪器均经过计量部门检定</w:t>
            </w:r>
            <w:r>
              <w:rPr>
                <w:rFonts w:ascii="Times New Roman" w:hAnsi="Times New Roman" w:eastAsia="宋体" w:cs="Times New Roman"/>
                <w:sz w:val="24"/>
                <w:szCs w:val="24"/>
                <w:highlight w:val="none"/>
                <w:lang w:bidi="ar"/>
              </w:rPr>
              <w:t>/</w:t>
            </w:r>
            <w:r>
              <w:rPr>
                <w:rFonts w:hint="eastAsia" w:ascii="Times New Roman" w:hAnsi="Times New Roman" w:eastAsia="宋体" w:cs="Times New Roman"/>
                <w:sz w:val="24"/>
                <w:szCs w:val="24"/>
                <w:highlight w:val="none"/>
                <w:lang w:bidi="ar"/>
              </w:rPr>
              <w:t>校准。</w:t>
            </w:r>
          </w:p>
          <w:p w14:paraId="2BB6A4EC">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eastAsia="宋体" w:cs="Times New Roman"/>
                <w:sz w:val="24"/>
                <w:szCs w:val="24"/>
                <w:highlight w:val="none"/>
                <w:lang w:bidi="ar"/>
              </w:rPr>
              <w:t>③验收监测现场采样和测试，均在生产相对集中的时段，且环保设施运转正常、稳定情况下进行。</w:t>
            </w:r>
          </w:p>
          <w:p w14:paraId="48EDD5A2">
            <w:pPr>
              <w:spacing w:line="276" w:lineRule="auto"/>
              <w:jc w:val="left"/>
              <w:outlineLvl w:val="0"/>
              <w:rPr>
                <w:rFonts w:ascii="Times New Roman" w:hAnsi="Times New Roman" w:cs="Times New Roman"/>
                <w:sz w:val="28"/>
                <w:szCs w:val="28"/>
                <w:highlight w:val="yellow"/>
              </w:rPr>
            </w:pPr>
          </w:p>
          <w:p w14:paraId="2514FCFC">
            <w:pPr>
              <w:spacing w:line="276" w:lineRule="auto"/>
              <w:jc w:val="left"/>
              <w:outlineLvl w:val="0"/>
              <w:rPr>
                <w:rFonts w:ascii="Times New Roman" w:hAnsi="Times New Roman" w:cs="Times New Roman"/>
                <w:sz w:val="28"/>
                <w:szCs w:val="28"/>
                <w:highlight w:val="yellow"/>
              </w:rPr>
            </w:pPr>
          </w:p>
          <w:p w14:paraId="37DB5137">
            <w:pPr>
              <w:spacing w:line="276" w:lineRule="auto"/>
              <w:jc w:val="left"/>
              <w:outlineLvl w:val="0"/>
              <w:rPr>
                <w:rFonts w:ascii="Times New Roman" w:hAnsi="Times New Roman" w:cs="Times New Roman"/>
                <w:sz w:val="28"/>
                <w:szCs w:val="28"/>
                <w:highlight w:val="yellow"/>
              </w:rPr>
            </w:pPr>
          </w:p>
          <w:p w14:paraId="5D0215D5">
            <w:pPr>
              <w:spacing w:line="276" w:lineRule="auto"/>
              <w:jc w:val="left"/>
              <w:outlineLvl w:val="0"/>
              <w:rPr>
                <w:rFonts w:ascii="Times New Roman" w:hAnsi="Times New Roman" w:cs="Times New Roman"/>
                <w:sz w:val="28"/>
                <w:szCs w:val="28"/>
                <w:highlight w:val="yellow"/>
              </w:rPr>
            </w:pPr>
          </w:p>
          <w:p w14:paraId="55523825">
            <w:pPr>
              <w:spacing w:line="276" w:lineRule="auto"/>
              <w:jc w:val="left"/>
              <w:outlineLvl w:val="0"/>
              <w:rPr>
                <w:rFonts w:ascii="Times New Roman" w:hAnsi="Times New Roman" w:cs="Times New Roman"/>
                <w:sz w:val="28"/>
                <w:szCs w:val="28"/>
                <w:highlight w:val="yellow"/>
              </w:rPr>
            </w:pPr>
          </w:p>
          <w:p w14:paraId="13A14664">
            <w:pPr>
              <w:spacing w:line="276" w:lineRule="auto"/>
              <w:jc w:val="left"/>
              <w:outlineLvl w:val="0"/>
              <w:rPr>
                <w:rFonts w:ascii="Times New Roman" w:hAnsi="Times New Roman" w:cs="Times New Roman"/>
                <w:sz w:val="28"/>
                <w:szCs w:val="28"/>
                <w:highlight w:val="yellow"/>
              </w:rPr>
            </w:pPr>
          </w:p>
          <w:p w14:paraId="6E9341F2">
            <w:pPr>
              <w:spacing w:line="276" w:lineRule="auto"/>
              <w:jc w:val="left"/>
              <w:outlineLvl w:val="0"/>
              <w:rPr>
                <w:rFonts w:ascii="Times New Roman" w:hAnsi="Times New Roman" w:cs="Times New Roman"/>
                <w:sz w:val="28"/>
                <w:szCs w:val="28"/>
                <w:highlight w:val="yellow"/>
              </w:rPr>
            </w:pPr>
          </w:p>
          <w:p w14:paraId="0BB1E20F">
            <w:pPr>
              <w:spacing w:line="276" w:lineRule="auto"/>
              <w:jc w:val="left"/>
              <w:outlineLvl w:val="0"/>
              <w:rPr>
                <w:rFonts w:ascii="Times New Roman" w:hAnsi="Times New Roman" w:cs="Times New Roman"/>
                <w:sz w:val="28"/>
                <w:szCs w:val="28"/>
                <w:highlight w:val="yellow"/>
              </w:rPr>
            </w:pPr>
          </w:p>
          <w:p w14:paraId="6529E5AA">
            <w:pPr>
              <w:spacing w:line="276" w:lineRule="auto"/>
              <w:jc w:val="left"/>
              <w:outlineLvl w:val="0"/>
              <w:rPr>
                <w:rFonts w:ascii="Times New Roman" w:hAnsi="Times New Roman" w:cs="Times New Roman"/>
                <w:sz w:val="28"/>
                <w:szCs w:val="28"/>
                <w:highlight w:val="yellow"/>
              </w:rPr>
            </w:pPr>
          </w:p>
          <w:p w14:paraId="270D439F">
            <w:pPr>
              <w:spacing w:line="276" w:lineRule="auto"/>
              <w:jc w:val="left"/>
              <w:outlineLvl w:val="0"/>
              <w:rPr>
                <w:rFonts w:ascii="Times New Roman" w:hAnsi="Times New Roman" w:cs="Times New Roman"/>
                <w:sz w:val="28"/>
                <w:szCs w:val="28"/>
                <w:highlight w:val="yellow"/>
              </w:rPr>
            </w:pPr>
          </w:p>
          <w:p w14:paraId="6920A067">
            <w:pPr>
              <w:spacing w:line="276" w:lineRule="auto"/>
              <w:jc w:val="left"/>
              <w:outlineLvl w:val="0"/>
              <w:rPr>
                <w:rFonts w:ascii="Times New Roman" w:hAnsi="Times New Roman" w:cs="Times New Roman"/>
                <w:sz w:val="28"/>
                <w:szCs w:val="28"/>
                <w:highlight w:val="yellow"/>
              </w:rPr>
            </w:pPr>
          </w:p>
          <w:p w14:paraId="6984F11D">
            <w:pPr>
              <w:spacing w:line="276" w:lineRule="auto"/>
              <w:jc w:val="left"/>
              <w:outlineLvl w:val="0"/>
              <w:rPr>
                <w:rFonts w:ascii="Times New Roman" w:hAnsi="Times New Roman" w:cs="Times New Roman"/>
                <w:sz w:val="28"/>
                <w:szCs w:val="28"/>
                <w:highlight w:val="yellow"/>
              </w:rPr>
            </w:pPr>
          </w:p>
        </w:tc>
      </w:tr>
    </w:tbl>
    <w:p w14:paraId="0FC87C44">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bookmarkStart w:id="41" w:name="_Toc112582548"/>
    </w:p>
    <w:p w14:paraId="088D28F3">
      <w:pPr>
        <w:spacing w:line="276" w:lineRule="auto"/>
        <w:jc w:val="left"/>
        <w:outlineLvl w:val="0"/>
        <w:rPr>
          <w:rFonts w:ascii="Times New Roman" w:hAnsi="Times New Roman" w:cs="Times New Roman"/>
          <w:b/>
          <w:sz w:val="28"/>
          <w:szCs w:val="28"/>
          <w:highlight w:val="none"/>
        </w:rPr>
      </w:pPr>
      <w:r>
        <w:rPr>
          <w:rFonts w:ascii="Times New Roman" w:hAnsi="Times New Roman" w:cs="Times New Roman"/>
          <w:sz w:val="28"/>
          <w:szCs w:val="28"/>
          <w:highlight w:val="none"/>
        </w:rPr>
        <w:t>表六</w:t>
      </w:r>
      <w:bookmarkEnd w:id="41"/>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27F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E84DF8">
            <w:pPr>
              <w:spacing w:line="276" w:lineRule="auto"/>
              <w:jc w:val="left"/>
              <w:outlineLvl w:val="0"/>
              <w:rPr>
                <w:rFonts w:ascii="Times New Roman" w:hAnsi="Times New Roman" w:cs="Times New Roman"/>
                <w:sz w:val="28"/>
                <w:szCs w:val="28"/>
                <w:highlight w:val="none"/>
              </w:rPr>
            </w:pPr>
            <w:bookmarkStart w:id="42" w:name="_Toc112582549"/>
            <w:r>
              <w:rPr>
                <w:rFonts w:ascii="Times New Roman" w:hAnsi="Times New Roman" w:cs="Times New Roman"/>
                <w:sz w:val="28"/>
                <w:szCs w:val="28"/>
                <w:highlight w:val="none"/>
              </w:rPr>
              <w:t>验收监测内容：</w:t>
            </w:r>
            <w:bookmarkEnd w:id="42"/>
          </w:p>
          <w:p w14:paraId="7269F1B1">
            <w:pPr>
              <w:pStyle w:val="26"/>
              <w:numPr>
                <w:ilvl w:val="0"/>
                <w:numId w:val="3"/>
              </w:numPr>
              <w:spacing w:line="276" w:lineRule="auto"/>
              <w:ind w:firstLineChars="0"/>
              <w:jc w:val="left"/>
              <w:outlineLvl w:val="0"/>
              <w:rPr>
                <w:rFonts w:ascii="Times New Roman" w:hAnsi="Times New Roman" w:cs="Times New Roman"/>
                <w:sz w:val="24"/>
                <w:szCs w:val="24"/>
                <w:highlight w:val="none"/>
              </w:rPr>
            </w:pPr>
            <w:bookmarkStart w:id="43" w:name="_Toc112582550"/>
            <w:r>
              <w:rPr>
                <w:rFonts w:ascii="Times New Roman" w:hAnsi="Times New Roman" w:cs="Times New Roman"/>
                <w:sz w:val="24"/>
                <w:szCs w:val="24"/>
                <w:highlight w:val="none"/>
              </w:rPr>
              <w:t>监测方案</w:t>
            </w:r>
            <w:bookmarkEnd w:id="43"/>
          </w:p>
          <w:p w14:paraId="196A98D7">
            <w:pPr>
              <w:spacing w:before="156" w:beforeLines="50" w:line="276" w:lineRule="auto"/>
              <w:jc w:val="center"/>
              <w:rPr>
                <w:rFonts w:ascii="Times New Roman" w:hAnsi="Times New Roman" w:cs="Times New Roman"/>
                <w:sz w:val="24"/>
                <w:szCs w:val="24"/>
                <w:highlight w:val="none"/>
              </w:rPr>
            </w:pPr>
            <w:bookmarkStart w:id="44" w:name="_Toc112582551"/>
            <w:r>
              <w:rPr>
                <w:rFonts w:ascii="Times New Roman" w:hAnsi="Times New Roman" w:cs="Times New Roman"/>
                <w:sz w:val="24"/>
                <w:szCs w:val="24"/>
                <w:highlight w:val="none"/>
              </w:rPr>
              <w:t>表6-</w:t>
            </w:r>
            <w:r>
              <w:rPr>
                <w:rFonts w:hint="eastAsia" w:ascii="Times New Roman" w:hAnsi="Times New Roman" w:cs="Times New Roman"/>
                <w:sz w:val="24"/>
                <w:szCs w:val="24"/>
                <w:highlight w:val="none"/>
                <w:lang w:val="en-US" w:eastAsia="zh-CN"/>
              </w:rPr>
              <w:t>1</w:t>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噪声</w:t>
            </w:r>
            <w:r>
              <w:rPr>
                <w:rFonts w:ascii="Times New Roman" w:hAnsi="Times New Roman" w:cs="Times New Roman"/>
                <w:sz w:val="24"/>
                <w:szCs w:val="24"/>
                <w:highlight w:val="none"/>
              </w:rPr>
              <w:t>监测方案</w:t>
            </w:r>
          </w:p>
          <w:tbl>
            <w:tblPr>
              <w:tblStyle w:val="25"/>
              <w:tblW w:w="8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2144"/>
              <w:gridCol w:w="1935"/>
              <w:gridCol w:w="1332"/>
              <w:gridCol w:w="1616"/>
            </w:tblGrid>
            <w:tr w14:paraId="13B2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shd w:val="clear" w:color="auto" w:fill="auto"/>
                  <w:vAlign w:val="center"/>
                </w:tcPr>
                <w:p w14:paraId="7BEC371E">
                  <w:pPr>
                    <w:jc w:val="center"/>
                    <w:rPr>
                      <w:rFonts w:ascii="Times New Roman" w:hAnsi="Times New Roman" w:cs="Times New Roman"/>
                      <w:b w:val="0"/>
                      <w:kern w:val="0"/>
                      <w:sz w:val="20"/>
                      <w:szCs w:val="21"/>
                      <w:highlight w:val="none"/>
                    </w:rPr>
                  </w:pPr>
                  <w:r>
                    <w:rPr>
                      <w:rFonts w:hint="eastAsia" w:ascii="Times New Roman" w:hAnsi="Times New Roman" w:eastAsia="宋体" w:cs="Times New Roman"/>
                      <w:b/>
                      <w:kern w:val="0"/>
                      <w:szCs w:val="21"/>
                      <w:highlight w:val="none"/>
                      <w:lang w:bidi="ar"/>
                    </w:rPr>
                    <w:t>序号</w:t>
                  </w:r>
                </w:p>
              </w:tc>
              <w:tc>
                <w:tcPr>
                  <w:tcW w:w="2144" w:type="dxa"/>
                  <w:shd w:val="clear" w:color="auto" w:fill="auto"/>
                  <w:vAlign w:val="center"/>
                </w:tcPr>
                <w:p w14:paraId="4068D7C3">
                  <w:pPr>
                    <w:jc w:val="center"/>
                    <w:rPr>
                      <w:rFonts w:ascii="Times New Roman" w:hAnsi="Times New Roman" w:cs="Times New Roman"/>
                      <w:b w:val="0"/>
                      <w:kern w:val="0"/>
                      <w:sz w:val="20"/>
                      <w:szCs w:val="21"/>
                      <w:highlight w:val="none"/>
                    </w:rPr>
                  </w:pPr>
                  <w:r>
                    <w:rPr>
                      <w:rFonts w:hint="eastAsia" w:ascii="Times New Roman" w:hAnsi="Times New Roman" w:eastAsia="宋体" w:cs="Times New Roman"/>
                      <w:b/>
                      <w:kern w:val="0"/>
                      <w:szCs w:val="21"/>
                      <w:highlight w:val="none"/>
                      <w:lang w:bidi="ar"/>
                    </w:rPr>
                    <w:t>监测位置</w:t>
                  </w:r>
                </w:p>
              </w:tc>
              <w:tc>
                <w:tcPr>
                  <w:tcW w:w="1935" w:type="dxa"/>
                  <w:shd w:val="clear" w:color="auto" w:fill="auto"/>
                  <w:vAlign w:val="center"/>
                </w:tcPr>
                <w:p w14:paraId="2AA68955">
                  <w:pPr>
                    <w:jc w:val="center"/>
                    <w:rPr>
                      <w:rFonts w:ascii="Times New Roman" w:hAnsi="Times New Roman" w:cs="Times New Roman"/>
                      <w:b w:val="0"/>
                      <w:kern w:val="0"/>
                      <w:sz w:val="20"/>
                      <w:szCs w:val="21"/>
                      <w:highlight w:val="none"/>
                    </w:rPr>
                  </w:pPr>
                  <w:r>
                    <w:rPr>
                      <w:rFonts w:hint="eastAsia" w:ascii="Times New Roman" w:hAnsi="Times New Roman" w:eastAsia="宋体" w:cs="Times New Roman"/>
                      <w:b/>
                      <w:kern w:val="0"/>
                      <w:szCs w:val="21"/>
                      <w:highlight w:val="none"/>
                      <w:lang w:bidi="ar"/>
                    </w:rPr>
                    <w:t>监测因子</w:t>
                  </w:r>
                </w:p>
              </w:tc>
              <w:tc>
                <w:tcPr>
                  <w:tcW w:w="1332" w:type="dxa"/>
                  <w:shd w:val="clear" w:color="auto" w:fill="auto"/>
                  <w:vAlign w:val="center"/>
                </w:tcPr>
                <w:p w14:paraId="209F0AB6">
                  <w:pPr>
                    <w:jc w:val="center"/>
                    <w:rPr>
                      <w:rFonts w:ascii="Times New Roman" w:hAnsi="Times New Roman" w:cs="Times New Roman"/>
                      <w:b w:val="0"/>
                      <w:kern w:val="0"/>
                      <w:sz w:val="20"/>
                      <w:szCs w:val="21"/>
                      <w:highlight w:val="none"/>
                    </w:rPr>
                  </w:pPr>
                  <w:r>
                    <w:rPr>
                      <w:rFonts w:hint="eastAsia" w:ascii="Times New Roman" w:hAnsi="Times New Roman" w:eastAsia="宋体" w:cs="Times New Roman"/>
                      <w:b/>
                      <w:kern w:val="0"/>
                      <w:szCs w:val="21"/>
                      <w:highlight w:val="none"/>
                      <w:lang w:bidi="ar"/>
                    </w:rPr>
                    <w:t>周期</w:t>
                  </w:r>
                </w:p>
              </w:tc>
              <w:tc>
                <w:tcPr>
                  <w:tcW w:w="1616" w:type="dxa"/>
                  <w:shd w:val="clear" w:color="auto" w:fill="auto"/>
                  <w:vAlign w:val="center"/>
                </w:tcPr>
                <w:p w14:paraId="1FA72229">
                  <w:pPr>
                    <w:jc w:val="center"/>
                    <w:rPr>
                      <w:rFonts w:ascii="Times New Roman" w:hAnsi="Times New Roman" w:cs="Times New Roman"/>
                      <w:b w:val="0"/>
                      <w:kern w:val="0"/>
                      <w:sz w:val="20"/>
                      <w:szCs w:val="21"/>
                      <w:highlight w:val="none"/>
                    </w:rPr>
                  </w:pPr>
                  <w:r>
                    <w:rPr>
                      <w:rFonts w:hint="eastAsia" w:ascii="Times New Roman" w:hAnsi="Times New Roman" w:eastAsia="宋体" w:cs="Times New Roman"/>
                      <w:b/>
                      <w:kern w:val="0"/>
                      <w:szCs w:val="21"/>
                      <w:highlight w:val="none"/>
                      <w:lang w:bidi="ar"/>
                    </w:rPr>
                    <w:t>频次</w:t>
                  </w:r>
                </w:p>
              </w:tc>
            </w:tr>
            <w:tr w14:paraId="361A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3" w:type="dxa"/>
                  <w:shd w:val="clear" w:color="auto" w:fill="auto"/>
                  <w:vAlign w:val="center"/>
                </w:tcPr>
                <w:p w14:paraId="6E7CF16B">
                  <w:pPr>
                    <w:jc w:val="center"/>
                    <w:rPr>
                      <w:rFonts w:ascii="Times New Roman" w:hAnsi="Times New Roman" w:cs="Times New Roman"/>
                      <w:kern w:val="0"/>
                      <w:sz w:val="20"/>
                      <w:szCs w:val="21"/>
                      <w:highlight w:val="none"/>
                    </w:rPr>
                  </w:pPr>
                  <w:r>
                    <w:rPr>
                      <w:rFonts w:ascii="Times New Roman" w:hAnsi="Times New Roman" w:eastAsia="宋体" w:cs="Times New Roman"/>
                      <w:kern w:val="0"/>
                      <w:szCs w:val="21"/>
                      <w:highlight w:val="none"/>
                      <w:lang w:bidi="ar"/>
                    </w:rPr>
                    <w:t>1</w:t>
                  </w:r>
                </w:p>
              </w:tc>
              <w:tc>
                <w:tcPr>
                  <w:tcW w:w="2144" w:type="dxa"/>
                  <w:shd w:val="clear" w:color="auto" w:fill="auto"/>
                  <w:vAlign w:val="center"/>
                </w:tcPr>
                <w:p w14:paraId="12952959">
                  <w:pPr>
                    <w:jc w:val="center"/>
                    <w:rPr>
                      <w:rFonts w:ascii="Times New Roman" w:hAnsi="Times New Roman" w:cs="Times New Roman"/>
                      <w:kern w:val="0"/>
                      <w:sz w:val="20"/>
                      <w:szCs w:val="21"/>
                      <w:highlight w:val="none"/>
                    </w:rPr>
                  </w:pPr>
                  <w:r>
                    <w:rPr>
                      <w:rFonts w:hint="eastAsia" w:ascii="Times New Roman" w:hAnsi="Times New Roman" w:eastAsia="宋体" w:cs="Times New Roman"/>
                      <w:kern w:val="0"/>
                      <w:szCs w:val="21"/>
                      <w:highlight w:val="none"/>
                      <w:lang w:bidi="ar"/>
                    </w:rPr>
                    <w:t>四侧厂界外</w:t>
                  </w:r>
                  <w:r>
                    <w:rPr>
                      <w:rFonts w:ascii="Times New Roman" w:hAnsi="Times New Roman" w:eastAsia="宋体" w:cs="Times New Roman"/>
                      <w:kern w:val="0"/>
                      <w:szCs w:val="21"/>
                      <w:highlight w:val="none"/>
                      <w:lang w:bidi="ar"/>
                    </w:rPr>
                    <w:t>1m</w:t>
                  </w:r>
                </w:p>
              </w:tc>
              <w:tc>
                <w:tcPr>
                  <w:tcW w:w="1935" w:type="dxa"/>
                  <w:shd w:val="clear" w:color="auto" w:fill="auto"/>
                  <w:vAlign w:val="center"/>
                </w:tcPr>
                <w:p w14:paraId="397E618F">
                  <w:pPr>
                    <w:jc w:val="center"/>
                    <w:rPr>
                      <w:rFonts w:ascii="Times New Roman" w:hAnsi="Times New Roman" w:cs="Times New Roman"/>
                      <w:kern w:val="0"/>
                      <w:sz w:val="20"/>
                      <w:szCs w:val="21"/>
                      <w:highlight w:val="none"/>
                    </w:rPr>
                  </w:pPr>
                  <w:r>
                    <w:rPr>
                      <w:rFonts w:hint="eastAsia" w:ascii="Times New Roman" w:hAnsi="Times New Roman" w:eastAsia="宋体" w:cs="Times New Roman"/>
                      <w:kern w:val="0"/>
                      <w:szCs w:val="21"/>
                      <w:highlight w:val="none"/>
                      <w:lang w:bidi="ar"/>
                    </w:rPr>
                    <w:t>等效连续</w:t>
                  </w:r>
                  <w:r>
                    <w:rPr>
                      <w:rFonts w:ascii="Times New Roman" w:hAnsi="Times New Roman" w:eastAsia="宋体" w:cs="Times New Roman"/>
                      <w:kern w:val="0"/>
                      <w:szCs w:val="21"/>
                      <w:highlight w:val="none"/>
                      <w:lang w:bidi="ar"/>
                    </w:rPr>
                    <w:t>A</w:t>
                  </w:r>
                  <w:r>
                    <w:rPr>
                      <w:rFonts w:hint="eastAsia" w:ascii="Times New Roman" w:hAnsi="Times New Roman" w:eastAsia="宋体" w:cs="Times New Roman"/>
                      <w:kern w:val="0"/>
                      <w:szCs w:val="21"/>
                      <w:highlight w:val="none"/>
                      <w:lang w:bidi="ar"/>
                    </w:rPr>
                    <w:t>声级</w:t>
                  </w:r>
                </w:p>
              </w:tc>
              <w:tc>
                <w:tcPr>
                  <w:tcW w:w="1332" w:type="dxa"/>
                  <w:shd w:val="clear" w:color="auto" w:fill="auto"/>
                  <w:vAlign w:val="center"/>
                </w:tcPr>
                <w:p w14:paraId="5D306084">
                  <w:pPr>
                    <w:jc w:val="center"/>
                    <w:rPr>
                      <w:rFonts w:ascii="Times New Roman" w:hAnsi="Times New Roman" w:cs="Times New Roman"/>
                      <w:kern w:val="0"/>
                      <w:sz w:val="20"/>
                      <w:szCs w:val="21"/>
                      <w:highlight w:val="none"/>
                    </w:rPr>
                  </w:pPr>
                  <w:r>
                    <w:rPr>
                      <w:rFonts w:ascii="Times New Roman" w:hAnsi="Times New Roman" w:eastAsia="宋体" w:cs="Times New Roman"/>
                      <w:kern w:val="0"/>
                      <w:szCs w:val="21"/>
                      <w:highlight w:val="none"/>
                      <w:lang w:bidi="ar"/>
                    </w:rPr>
                    <w:t>2</w:t>
                  </w:r>
                </w:p>
              </w:tc>
              <w:tc>
                <w:tcPr>
                  <w:tcW w:w="1616" w:type="dxa"/>
                  <w:shd w:val="clear" w:color="auto" w:fill="auto"/>
                  <w:vAlign w:val="center"/>
                </w:tcPr>
                <w:p w14:paraId="60862506">
                  <w:pPr>
                    <w:jc w:val="center"/>
                    <w:rPr>
                      <w:rFonts w:ascii="Times New Roman" w:hAnsi="Times New Roman" w:cs="Times New Roman"/>
                      <w:kern w:val="0"/>
                      <w:sz w:val="20"/>
                      <w:szCs w:val="21"/>
                      <w:highlight w:val="none"/>
                    </w:rPr>
                  </w:pPr>
                  <w:r>
                    <w:rPr>
                      <w:rFonts w:ascii="Times New Roman" w:hAnsi="Times New Roman" w:eastAsia="宋体" w:cs="Times New Roman"/>
                      <w:kern w:val="0"/>
                      <w:szCs w:val="21"/>
                      <w:highlight w:val="none"/>
                      <w:lang w:bidi="ar"/>
                    </w:rPr>
                    <w:t>3</w:t>
                  </w:r>
                  <w:r>
                    <w:rPr>
                      <w:rFonts w:hint="eastAsia" w:ascii="Times New Roman" w:hAnsi="Times New Roman" w:eastAsia="宋体" w:cs="Times New Roman"/>
                      <w:kern w:val="0"/>
                      <w:szCs w:val="21"/>
                      <w:highlight w:val="none"/>
                      <w:lang w:bidi="ar"/>
                    </w:rPr>
                    <w:t>次</w:t>
                  </w:r>
                  <w:r>
                    <w:rPr>
                      <w:rFonts w:ascii="Times New Roman" w:hAnsi="Times New Roman" w:eastAsia="宋体" w:cs="Times New Roman"/>
                      <w:kern w:val="0"/>
                      <w:szCs w:val="21"/>
                      <w:highlight w:val="none"/>
                      <w:lang w:bidi="ar"/>
                    </w:rPr>
                    <w:t>/</w:t>
                  </w:r>
                  <w:r>
                    <w:rPr>
                      <w:rFonts w:hint="eastAsia" w:ascii="Times New Roman" w:hAnsi="Times New Roman" w:eastAsia="宋体" w:cs="Times New Roman"/>
                      <w:kern w:val="0"/>
                      <w:szCs w:val="21"/>
                      <w:highlight w:val="none"/>
                      <w:lang w:bidi="ar"/>
                    </w:rPr>
                    <w:t>周期（昼间2次，夜间1次）</w:t>
                  </w:r>
                </w:p>
              </w:tc>
            </w:tr>
          </w:tbl>
          <w:p w14:paraId="31AAF4DF">
            <w:pPr>
              <w:pStyle w:val="26"/>
              <w:numPr>
                <w:ilvl w:val="0"/>
                <w:numId w:val="3"/>
              </w:numPr>
              <w:spacing w:line="360" w:lineRule="auto"/>
              <w:ind w:firstLineChars="0"/>
              <w:jc w:val="left"/>
              <w:outlineLvl w:val="0"/>
              <w:rPr>
                <w:rFonts w:ascii="Times New Roman" w:hAnsi="Times New Roman" w:cs="Times New Roman"/>
                <w:sz w:val="24"/>
                <w:szCs w:val="24"/>
                <w:highlight w:val="none"/>
              </w:rPr>
            </w:pPr>
            <w:r>
              <w:rPr>
                <w:rFonts w:ascii="Times New Roman" w:hAnsi="Times New Roman" w:cs="Times New Roman"/>
                <w:sz w:val="24"/>
                <w:szCs w:val="24"/>
                <w:highlight w:val="none"/>
              </w:rPr>
              <w:t>监测点位图：</w:t>
            </w:r>
            <w:r>
              <w:rPr>
                <w:rFonts w:ascii="Times New Roman" w:hAnsi="Times New Roman" w:cs="Times New Roman"/>
                <w:kern w:val="0"/>
                <w:sz w:val="24"/>
                <w:szCs w:val="24"/>
                <w:highlight w:val="none"/>
              </w:rPr>
              <w:t>监测点位图详见下图。</w:t>
            </w:r>
            <w:bookmarkEnd w:id="44"/>
          </w:p>
          <w:p w14:paraId="62CCD8EE">
            <w:pPr>
              <w:spacing w:line="360" w:lineRule="auto"/>
              <w:jc w:val="center"/>
              <w:outlineLvl w:val="0"/>
              <w:rPr>
                <w:rFonts w:ascii="Times New Roman" w:hAnsi="Times New Roman" w:cs="Times New Roman"/>
                <w:sz w:val="24"/>
                <w:szCs w:val="24"/>
                <w:highlight w:val="yellow"/>
              </w:rPr>
            </w:pPr>
            <w:r>
              <w:drawing>
                <wp:inline distT="0" distB="0" distL="114300" distR="114300">
                  <wp:extent cx="4273550" cy="4252595"/>
                  <wp:effectExtent l="0" t="0" r="1270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a:stretch>
                            <a:fillRect/>
                          </a:stretch>
                        </pic:blipFill>
                        <pic:spPr>
                          <a:xfrm>
                            <a:off x="0" y="0"/>
                            <a:ext cx="4273550" cy="4252595"/>
                          </a:xfrm>
                          <a:prstGeom prst="rect">
                            <a:avLst/>
                          </a:prstGeom>
                          <a:noFill/>
                          <a:ln>
                            <a:noFill/>
                          </a:ln>
                        </pic:spPr>
                      </pic:pic>
                    </a:graphicData>
                  </a:graphic>
                </wp:inline>
              </w:drawing>
            </w:r>
          </w:p>
          <w:p w14:paraId="738C662A">
            <w:pPr>
              <w:jc w:val="center"/>
              <w:rPr>
                <w:rFonts w:ascii="Times New Roman" w:hAnsi="Times New Roman" w:cs="Times New Roman"/>
                <w:sz w:val="24"/>
                <w:szCs w:val="24"/>
                <w:highlight w:val="none"/>
              </w:rPr>
            </w:pPr>
            <w:r>
              <w:rPr>
                <w:rFonts w:ascii="Times New Roman" w:hAnsi="Times New Roman" w:cs="Times New Roman"/>
                <w:sz w:val="24"/>
                <w:szCs w:val="24"/>
                <w:highlight w:val="none"/>
              </w:rPr>
              <w:t>图6</w:t>
            </w:r>
            <w:r>
              <w:rPr>
                <w:rFonts w:hint="eastAsia" w:ascii="Times New Roman" w:hAnsi="Times New Roman" w:cs="Times New Roman"/>
                <w:sz w:val="24"/>
                <w:szCs w:val="24"/>
                <w:highlight w:val="none"/>
              </w:rPr>
              <w:t>-1噪声</w:t>
            </w:r>
            <w:r>
              <w:rPr>
                <w:rFonts w:ascii="Times New Roman" w:hAnsi="Times New Roman" w:cs="Times New Roman"/>
                <w:sz w:val="24"/>
                <w:szCs w:val="24"/>
                <w:highlight w:val="none"/>
              </w:rPr>
              <w:t>监测点位图</w:t>
            </w:r>
          </w:p>
          <w:p w14:paraId="74A4DA8E">
            <w:pPr>
              <w:rPr>
                <w:rFonts w:ascii="Times New Roman" w:hAnsi="Times New Roman" w:cs="Times New Roman"/>
                <w:sz w:val="24"/>
                <w:szCs w:val="24"/>
                <w:highlight w:val="yellow"/>
              </w:rPr>
            </w:pPr>
          </w:p>
          <w:p w14:paraId="30E64F05">
            <w:pPr>
              <w:rPr>
                <w:rFonts w:ascii="Times New Roman" w:hAnsi="Times New Roman" w:cs="Times New Roman"/>
                <w:sz w:val="24"/>
                <w:szCs w:val="24"/>
                <w:highlight w:val="yellow"/>
              </w:rPr>
            </w:pPr>
          </w:p>
          <w:p w14:paraId="685F9CB4">
            <w:pPr>
              <w:rPr>
                <w:rFonts w:ascii="Times New Roman" w:hAnsi="Times New Roman" w:cs="Times New Roman"/>
                <w:sz w:val="24"/>
                <w:szCs w:val="24"/>
                <w:highlight w:val="yellow"/>
              </w:rPr>
            </w:pPr>
          </w:p>
          <w:p w14:paraId="4DF7B412">
            <w:pPr>
              <w:rPr>
                <w:rFonts w:ascii="Times New Roman" w:hAnsi="Times New Roman" w:cs="Times New Roman"/>
                <w:sz w:val="24"/>
                <w:szCs w:val="24"/>
                <w:highlight w:val="yellow"/>
              </w:rPr>
            </w:pPr>
          </w:p>
          <w:p w14:paraId="226FA334">
            <w:pPr>
              <w:rPr>
                <w:rFonts w:ascii="Times New Roman" w:hAnsi="Times New Roman" w:cs="Times New Roman"/>
                <w:sz w:val="24"/>
                <w:szCs w:val="24"/>
                <w:highlight w:val="yellow"/>
              </w:rPr>
            </w:pPr>
          </w:p>
          <w:p w14:paraId="0941C099">
            <w:pPr>
              <w:rPr>
                <w:rFonts w:ascii="Times New Roman" w:hAnsi="Times New Roman" w:cs="Times New Roman"/>
                <w:sz w:val="24"/>
                <w:szCs w:val="24"/>
                <w:highlight w:val="yellow"/>
              </w:rPr>
            </w:pPr>
          </w:p>
          <w:p w14:paraId="59C76C23">
            <w:pPr>
              <w:rPr>
                <w:rFonts w:ascii="Times New Roman" w:hAnsi="Times New Roman" w:cs="Times New Roman"/>
                <w:sz w:val="24"/>
                <w:szCs w:val="24"/>
                <w:highlight w:val="yellow"/>
              </w:rPr>
            </w:pPr>
          </w:p>
          <w:p w14:paraId="45601E0B">
            <w:pPr>
              <w:rPr>
                <w:rFonts w:ascii="Times New Roman" w:hAnsi="Times New Roman" w:cs="Times New Roman"/>
                <w:sz w:val="24"/>
                <w:szCs w:val="24"/>
                <w:highlight w:val="yellow"/>
              </w:rPr>
            </w:pPr>
          </w:p>
          <w:p w14:paraId="50DC6F91">
            <w:pPr>
              <w:rPr>
                <w:rFonts w:ascii="Times New Roman" w:hAnsi="Times New Roman" w:cs="Times New Roman"/>
                <w:sz w:val="24"/>
                <w:szCs w:val="24"/>
                <w:highlight w:val="yellow"/>
              </w:rPr>
            </w:pPr>
          </w:p>
        </w:tc>
      </w:tr>
    </w:tbl>
    <w:p w14:paraId="18718F97">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p>
    <w:p w14:paraId="20D886E6">
      <w:pPr>
        <w:spacing w:line="276" w:lineRule="auto"/>
        <w:jc w:val="left"/>
        <w:outlineLvl w:val="0"/>
        <w:rPr>
          <w:rFonts w:ascii="Times New Roman" w:hAnsi="Times New Roman" w:cs="Times New Roman"/>
          <w:sz w:val="28"/>
          <w:szCs w:val="28"/>
          <w:highlight w:val="none"/>
        </w:rPr>
      </w:pPr>
      <w:bookmarkStart w:id="45" w:name="_Toc112582553"/>
      <w:r>
        <w:rPr>
          <w:rFonts w:ascii="Times New Roman" w:hAnsi="Times New Roman" w:cs="Times New Roman"/>
          <w:sz w:val="28"/>
          <w:szCs w:val="28"/>
          <w:highlight w:val="none"/>
        </w:rPr>
        <w:t>表七</w:t>
      </w:r>
      <w:bookmarkEnd w:id="45"/>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9E9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3" w:hRule="atLeast"/>
        </w:trPr>
        <w:tc>
          <w:tcPr>
            <w:tcW w:w="8522" w:type="dxa"/>
          </w:tcPr>
          <w:p w14:paraId="630B1945">
            <w:pPr>
              <w:spacing w:line="276" w:lineRule="auto"/>
              <w:jc w:val="left"/>
              <w:outlineLvl w:val="0"/>
              <w:rPr>
                <w:rFonts w:ascii="Times New Roman" w:hAnsi="Times New Roman" w:cs="Times New Roman"/>
                <w:sz w:val="28"/>
                <w:szCs w:val="28"/>
                <w:highlight w:val="none"/>
              </w:rPr>
            </w:pPr>
            <w:bookmarkStart w:id="46" w:name="_Toc112582554"/>
            <w:r>
              <w:rPr>
                <w:rFonts w:ascii="Times New Roman" w:hAnsi="Times New Roman" w:cs="Times New Roman"/>
                <w:sz w:val="28"/>
                <w:szCs w:val="28"/>
                <w:highlight w:val="none"/>
              </w:rPr>
              <w:t>验收监测期间生产工况记录：</w:t>
            </w:r>
            <w:bookmarkEnd w:id="46"/>
          </w:p>
          <w:p w14:paraId="6A8F82CA">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本项目于</w:t>
            </w:r>
            <w:r>
              <w:rPr>
                <w:rFonts w:hint="eastAsia" w:ascii="Times New Roman" w:hAnsi="Times New Roman" w:cs="Times New Roman"/>
                <w:sz w:val="24"/>
                <w:szCs w:val="24"/>
                <w:highlight w:val="none"/>
              </w:rPr>
              <w:t>202</w:t>
            </w:r>
            <w:r>
              <w:rPr>
                <w:rFonts w:hint="eastAsia" w:ascii="Times New Roman" w:hAnsi="Times New Roman" w:cs="Times New Roman"/>
                <w:sz w:val="24"/>
                <w:szCs w:val="24"/>
                <w:highlight w:val="none"/>
                <w:lang w:val="en-US" w:eastAsia="zh-CN"/>
              </w:rPr>
              <w:t>5</w:t>
            </w:r>
            <w:r>
              <w:rPr>
                <w:rFonts w:hint="eastAsia" w:ascii="Times New Roman" w:hAnsi="Times New Roman" w:cs="Times New Roman"/>
                <w:sz w:val="24"/>
                <w:szCs w:val="24"/>
                <w:highlight w:val="none"/>
              </w:rPr>
              <w:t>年</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rPr>
              <w:t>月</w:t>
            </w:r>
            <w:r>
              <w:rPr>
                <w:rFonts w:hint="eastAsia" w:ascii="Times New Roman" w:hAnsi="Times New Roman" w:cs="Times New Roman"/>
                <w:sz w:val="24"/>
                <w:szCs w:val="24"/>
                <w:highlight w:val="none"/>
                <w:lang w:val="en-US" w:eastAsia="zh-CN"/>
              </w:rPr>
              <w:t>27</w:t>
            </w:r>
            <w:r>
              <w:rPr>
                <w:rFonts w:hint="eastAsia" w:ascii="Times New Roman" w:hAnsi="Times New Roman" w:cs="Times New Roman"/>
                <w:sz w:val="24"/>
                <w:szCs w:val="24"/>
                <w:highlight w:val="none"/>
              </w:rPr>
              <w:t>日至</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rPr>
              <w:t>月</w:t>
            </w:r>
            <w:r>
              <w:rPr>
                <w:rFonts w:hint="eastAsia" w:ascii="Times New Roman" w:hAnsi="Times New Roman" w:cs="Times New Roman"/>
                <w:sz w:val="24"/>
                <w:szCs w:val="24"/>
                <w:highlight w:val="none"/>
                <w:lang w:val="en-US" w:eastAsia="zh-CN"/>
              </w:rPr>
              <w:t>28</w:t>
            </w:r>
            <w:r>
              <w:rPr>
                <w:rFonts w:hint="eastAsia" w:ascii="Times New Roman" w:hAnsi="Times New Roman" w:cs="Times New Roman"/>
                <w:sz w:val="24"/>
                <w:szCs w:val="24"/>
                <w:highlight w:val="none"/>
              </w:rPr>
              <w:t>日</w:t>
            </w:r>
            <w:r>
              <w:rPr>
                <w:rFonts w:hint="eastAsia" w:ascii="Times New Roman" w:hAnsi="Times New Roman" w:cs="Times New Roman"/>
                <w:sz w:val="24"/>
                <w:szCs w:val="24"/>
              </w:rPr>
              <w:t>进行验收监测，</w:t>
            </w:r>
            <w:r>
              <w:rPr>
                <w:rFonts w:ascii="Times New Roman" w:hAnsi="Times New Roman" w:cs="Times New Roman"/>
                <w:sz w:val="24"/>
                <w:szCs w:val="24"/>
              </w:rPr>
              <w:t>验收</w:t>
            </w:r>
            <w:r>
              <w:rPr>
                <w:rFonts w:hint="eastAsia" w:ascii="Times New Roman" w:hAnsi="Times New Roman" w:cs="Times New Roman"/>
                <w:sz w:val="24"/>
                <w:szCs w:val="24"/>
              </w:rPr>
              <w:t>监测</w:t>
            </w:r>
            <w:r>
              <w:rPr>
                <w:rFonts w:ascii="Times New Roman" w:hAnsi="Times New Roman" w:cs="Times New Roman"/>
                <w:sz w:val="24"/>
                <w:szCs w:val="24"/>
              </w:rPr>
              <w:t>期间</w:t>
            </w:r>
            <w:r>
              <w:rPr>
                <w:rFonts w:hint="eastAsia" w:ascii="Times New Roman" w:hAnsi="Times New Roman" w:cs="Times New Roman"/>
                <w:sz w:val="24"/>
                <w:szCs w:val="24"/>
              </w:rPr>
              <w:t>化学品库正常使用，</w:t>
            </w:r>
            <w:r>
              <w:rPr>
                <w:rFonts w:hint="eastAsia" w:ascii="Times New Roman" w:hAnsi="Times New Roman"/>
                <w:sz w:val="24"/>
                <w:szCs w:val="24"/>
              </w:rPr>
              <w:t>设备正常运转</w:t>
            </w:r>
            <w:r>
              <w:rPr>
                <w:rFonts w:ascii="Times New Roman" w:hAnsi="Times New Roman" w:cs="Times New Roman"/>
                <w:sz w:val="24"/>
                <w:szCs w:val="24"/>
              </w:rPr>
              <w:t>。</w:t>
            </w:r>
          </w:p>
          <w:p w14:paraId="28FE12A4">
            <w:pPr>
              <w:jc w:val="center"/>
              <w:rPr>
                <w:rFonts w:ascii="Times New Roman" w:hAnsi="Times New Roman" w:cs="Times New Roman"/>
                <w:sz w:val="24"/>
                <w:szCs w:val="24"/>
              </w:rPr>
            </w:pPr>
            <w:r>
              <w:rPr>
                <w:rFonts w:hint="eastAsia" w:ascii="Times New Roman" w:hAnsi="Times New Roman" w:eastAsia="宋体" w:cs="Times New Roman"/>
                <w:sz w:val="24"/>
                <w:szCs w:val="24"/>
              </w:rPr>
              <w:t>表</w:t>
            </w:r>
            <w:r>
              <w:rPr>
                <w:rFonts w:ascii="Times New Roman" w:hAnsi="Times New Roman" w:eastAsia="宋体" w:cs="Times New Roman"/>
                <w:sz w:val="24"/>
                <w:szCs w:val="24"/>
              </w:rPr>
              <w:t>7-1</w:t>
            </w:r>
            <w:r>
              <w:rPr>
                <w:rFonts w:hint="eastAsia" w:ascii="Times New Roman" w:hAnsi="Times New Roman" w:eastAsia="宋体" w:cs="Times New Roman"/>
                <w:sz w:val="24"/>
                <w:szCs w:val="24"/>
              </w:rPr>
              <w:t>验收期间库房存储工况</w:t>
            </w:r>
          </w:p>
          <w:tbl>
            <w:tblPr>
              <w:tblStyle w:val="19"/>
              <w:tblW w:w="49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1984"/>
              <w:gridCol w:w="1702"/>
              <w:gridCol w:w="1658"/>
              <w:gridCol w:w="1325"/>
            </w:tblGrid>
            <w:tr w14:paraId="79A4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09" w:type="pct"/>
                  <w:shd w:val="clear" w:color="auto" w:fill="auto"/>
                  <w:vAlign w:val="center"/>
                </w:tcPr>
                <w:p w14:paraId="1DE4DF03">
                  <w:pPr>
                    <w:jc w:val="center"/>
                    <w:rPr>
                      <w:rFonts w:ascii="Times New Roman" w:hAnsi="Times New Roman" w:cs="Times New Roman"/>
                      <w:szCs w:val="21"/>
                    </w:rPr>
                  </w:pPr>
                  <w:r>
                    <w:rPr>
                      <w:rFonts w:ascii="Times New Roman" w:hAnsi="Times New Roman" w:cs="Times New Roman"/>
                      <w:szCs w:val="21"/>
                    </w:rPr>
                    <w:t>日期</w:t>
                  </w:r>
                </w:p>
              </w:tc>
              <w:tc>
                <w:tcPr>
                  <w:tcW w:w="1217" w:type="pct"/>
                  <w:shd w:val="clear" w:color="auto" w:fill="auto"/>
                  <w:vAlign w:val="center"/>
                </w:tcPr>
                <w:p w14:paraId="5497AB33">
                  <w:pPr>
                    <w:jc w:val="center"/>
                    <w:rPr>
                      <w:rFonts w:ascii="Times New Roman" w:hAnsi="Times New Roman" w:cs="Times New Roman"/>
                      <w:szCs w:val="21"/>
                    </w:rPr>
                  </w:pPr>
                  <w:r>
                    <w:rPr>
                      <w:rFonts w:ascii="Times New Roman" w:hAnsi="Times New Roman" w:cs="Times New Roman"/>
                      <w:szCs w:val="21"/>
                    </w:rPr>
                    <w:t>内容</w:t>
                  </w:r>
                </w:p>
              </w:tc>
              <w:tc>
                <w:tcPr>
                  <w:tcW w:w="1044" w:type="pct"/>
                  <w:shd w:val="clear" w:color="auto" w:fill="auto"/>
                  <w:vAlign w:val="center"/>
                </w:tcPr>
                <w:p w14:paraId="3311ACDA">
                  <w:pPr>
                    <w:jc w:val="center"/>
                    <w:rPr>
                      <w:rFonts w:ascii="Times New Roman" w:hAnsi="Times New Roman" w:cs="Times New Roman"/>
                      <w:szCs w:val="21"/>
                    </w:rPr>
                  </w:pPr>
                  <w:r>
                    <w:rPr>
                      <w:rFonts w:hint="eastAsia" w:ascii="Times New Roman" w:hAnsi="Times New Roman" w:cs="Times New Roman"/>
                      <w:szCs w:val="21"/>
                    </w:rPr>
                    <w:t>环评最大存储量（t）</w:t>
                  </w:r>
                </w:p>
              </w:tc>
              <w:tc>
                <w:tcPr>
                  <w:tcW w:w="1017" w:type="pct"/>
                  <w:shd w:val="clear" w:color="auto" w:fill="auto"/>
                  <w:vAlign w:val="center"/>
                </w:tcPr>
                <w:p w14:paraId="71D3FB16">
                  <w:pPr>
                    <w:jc w:val="center"/>
                    <w:rPr>
                      <w:rFonts w:ascii="Times New Roman" w:hAnsi="Times New Roman" w:cs="Times New Roman"/>
                      <w:szCs w:val="21"/>
                    </w:rPr>
                  </w:pPr>
                  <w:r>
                    <w:rPr>
                      <w:rFonts w:ascii="Times New Roman" w:hAnsi="Times New Roman" w:cs="Times New Roman"/>
                      <w:szCs w:val="21"/>
                    </w:rPr>
                    <w:t>验收</w:t>
                  </w:r>
                  <w:r>
                    <w:rPr>
                      <w:rFonts w:hint="eastAsia" w:ascii="Times New Roman" w:hAnsi="Times New Roman" w:cs="Times New Roman"/>
                      <w:szCs w:val="21"/>
                    </w:rPr>
                    <w:t>检测期间存储量（t）</w:t>
                  </w:r>
                </w:p>
              </w:tc>
              <w:tc>
                <w:tcPr>
                  <w:tcW w:w="813" w:type="pct"/>
                  <w:shd w:val="clear" w:color="auto" w:fill="auto"/>
                  <w:vAlign w:val="center"/>
                </w:tcPr>
                <w:p w14:paraId="385AB935">
                  <w:pPr>
                    <w:jc w:val="center"/>
                    <w:rPr>
                      <w:rFonts w:ascii="Times New Roman" w:hAnsi="Times New Roman" w:cs="Times New Roman"/>
                      <w:szCs w:val="21"/>
                    </w:rPr>
                  </w:pPr>
                  <w:r>
                    <w:rPr>
                      <w:rFonts w:ascii="Times New Roman" w:hAnsi="Times New Roman" w:cs="Times New Roman"/>
                      <w:szCs w:val="21"/>
                    </w:rPr>
                    <w:t>验收监测期间负荷</w:t>
                  </w:r>
                </w:p>
              </w:tc>
            </w:tr>
            <w:tr w14:paraId="2E5B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exact"/>
                <w:jc w:val="center"/>
              </w:trPr>
              <w:tc>
                <w:tcPr>
                  <w:tcW w:w="909" w:type="pct"/>
                  <w:shd w:val="clear" w:color="auto" w:fill="auto"/>
                  <w:vAlign w:val="center"/>
                </w:tcPr>
                <w:p w14:paraId="272260B9">
                  <w:pPr>
                    <w:pStyle w:val="37"/>
                    <w:snapToGrid w:val="0"/>
                    <w:spacing w:line="276" w:lineRule="auto"/>
                    <w:rPr>
                      <w:rFonts w:ascii="Times New Roman" w:hAnsi="Times New Roman" w:cs="Times New Roman"/>
                      <w:szCs w:val="21"/>
                    </w:rPr>
                  </w:pPr>
                  <w:r>
                    <w:rPr>
                      <w:rFonts w:ascii="Times New Roman" w:hAnsi="Times New Roman" w:cs="Times New Roman"/>
                      <w:szCs w:val="21"/>
                      <w:highlight w:val="none"/>
                    </w:rPr>
                    <w:t>202</w:t>
                  </w:r>
                  <w:r>
                    <w:rPr>
                      <w:rFonts w:hint="eastAsia" w:ascii="Times New Roman" w:hAnsi="Times New Roman" w:cs="Times New Roman"/>
                      <w:szCs w:val="21"/>
                      <w:highlight w:val="none"/>
                      <w:lang w:val="en-US" w:eastAsia="zh-CN"/>
                    </w:rPr>
                    <w:t>5.11.27-2025.11.28</w:t>
                  </w:r>
                </w:p>
              </w:tc>
              <w:tc>
                <w:tcPr>
                  <w:tcW w:w="1217" w:type="pct"/>
                  <w:shd w:val="clear" w:color="auto" w:fill="auto"/>
                  <w:vAlign w:val="center"/>
                </w:tcPr>
                <w:p w14:paraId="7788A5C6">
                  <w:pPr>
                    <w:pStyle w:val="37"/>
                    <w:snapToGrid w:val="0"/>
                    <w:spacing w:line="276" w:lineRule="auto"/>
                    <w:rPr>
                      <w:rFonts w:ascii="Times New Roman" w:hAnsi="Times New Roman" w:cs="Times New Roman"/>
                      <w:szCs w:val="21"/>
                    </w:rPr>
                  </w:pPr>
                  <w:r>
                    <w:rPr>
                      <w:rFonts w:hint="eastAsia" w:ascii="Times New Roman" w:hAnsi="Times New Roman" w:cs="Times New Roman"/>
                      <w:szCs w:val="21"/>
                    </w:rPr>
                    <w:t>化学品库</w:t>
                  </w:r>
                </w:p>
              </w:tc>
              <w:tc>
                <w:tcPr>
                  <w:tcW w:w="1044" w:type="pct"/>
                  <w:shd w:val="clear" w:color="auto" w:fill="auto"/>
                  <w:vAlign w:val="center"/>
                </w:tcPr>
                <w:p w14:paraId="764F5AC2">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kern w:val="0"/>
                      <w:szCs w:val="21"/>
                      <w:lang w:val="en-US" w:eastAsia="zh-CN"/>
                    </w:rPr>
                    <w:t>34.546</w:t>
                  </w:r>
                </w:p>
              </w:tc>
              <w:tc>
                <w:tcPr>
                  <w:tcW w:w="1017" w:type="pct"/>
                  <w:shd w:val="clear" w:color="auto" w:fill="auto"/>
                  <w:vAlign w:val="center"/>
                </w:tcPr>
                <w:p w14:paraId="1ABC3571">
                  <w:pPr>
                    <w:jc w:val="center"/>
                    <w:rPr>
                      <w:rFonts w:ascii="Times New Roman" w:hAnsi="Times New Roman" w:cs="Times New Roman"/>
                      <w:szCs w:val="21"/>
                    </w:rPr>
                  </w:pPr>
                  <w:r>
                    <w:rPr>
                      <w:rFonts w:hint="eastAsia" w:ascii="Times New Roman" w:hAnsi="Times New Roman" w:cs="Times New Roman"/>
                      <w:kern w:val="0"/>
                      <w:szCs w:val="21"/>
                      <w:lang w:val="en-US" w:eastAsia="zh-CN"/>
                    </w:rPr>
                    <w:t>34.546</w:t>
                  </w:r>
                </w:p>
              </w:tc>
              <w:tc>
                <w:tcPr>
                  <w:tcW w:w="813" w:type="pct"/>
                  <w:shd w:val="clear" w:color="auto" w:fill="auto"/>
                  <w:vAlign w:val="center"/>
                </w:tcPr>
                <w:p w14:paraId="32C538D8">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r>
          </w:tbl>
          <w:p w14:paraId="01C6A263">
            <w:pPr>
              <w:spacing w:line="276" w:lineRule="auto"/>
              <w:jc w:val="left"/>
              <w:outlineLvl w:val="0"/>
              <w:rPr>
                <w:rFonts w:ascii="Times New Roman" w:hAnsi="Times New Roman" w:cs="Times New Roman"/>
                <w:sz w:val="28"/>
                <w:szCs w:val="28"/>
                <w:highlight w:val="none"/>
              </w:rPr>
            </w:pPr>
            <w:bookmarkStart w:id="47" w:name="_Toc112582555"/>
            <w:r>
              <w:rPr>
                <w:rFonts w:ascii="Times New Roman" w:hAnsi="Times New Roman" w:cs="Times New Roman"/>
                <w:sz w:val="28"/>
                <w:szCs w:val="28"/>
                <w:highlight w:val="none"/>
              </w:rPr>
              <w:t>验收监测结果：</w:t>
            </w:r>
            <w:bookmarkEnd w:id="47"/>
          </w:p>
          <w:p w14:paraId="6D9FA1FB">
            <w:pPr>
              <w:spacing w:line="360" w:lineRule="auto"/>
              <w:rPr>
                <w:rFonts w:ascii="Times New Roman" w:hAnsi="Times New Roman" w:cs="Times New Roman"/>
                <w:sz w:val="24"/>
                <w:szCs w:val="24"/>
                <w:highlight w:val="none"/>
              </w:rPr>
            </w:pPr>
            <w:r>
              <w:rPr>
                <w:rFonts w:hint="eastAsia" w:ascii="Times New Roman" w:hAnsi="Times New Roman" w:cs="Times New Roman"/>
                <w:sz w:val="24"/>
                <w:szCs w:val="24"/>
                <w:highlight w:val="none"/>
              </w:rPr>
              <w:t>噪声监测结果</w:t>
            </w:r>
          </w:p>
          <w:p w14:paraId="0B349E98">
            <w:pPr>
              <w:spacing w:line="360" w:lineRule="auto"/>
              <w:ind w:firstLine="480" w:firstLineChars="200"/>
              <w:jc w:val="left"/>
              <w:rPr>
                <w:rFonts w:ascii="Times New Roman" w:hAnsi="Times New Roman" w:cs="Times New Roman"/>
                <w:sz w:val="24"/>
                <w:szCs w:val="24"/>
                <w:highlight w:val="none"/>
              </w:rPr>
            </w:pPr>
            <w:r>
              <w:rPr>
                <w:rFonts w:hint="eastAsia" w:ascii="Times New Roman" w:hAnsi="Times New Roman" w:cs="Times New Roman"/>
                <w:sz w:val="24"/>
                <w:szCs w:val="24"/>
                <w:highlight w:val="none"/>
              </w:rPr>
              <w:t>202</w:t>
            </w:r>
            <w:r>
              <w:rPr>
                <w:rFonts w:hint="eastAsia" w:ascii="Times New Roman" w:hAnsi="Times New Roman" w:cs="Times New Roman"/>
                <w:sz w:val="24"/>
                <w:szCs w:val="24"/>
                <w:highlight w:val="none"/>
                <w:lang w:val="en-US" w:eastAsia="zh-CN"/>
              </w:rPr>
              <w:t>5</w:t>
            </w:r>
            <w:r>
              <w:rPr>
                <w:rFonts w:hint="eastAsia" w:ascii="Times New Roman" w:hAnsi="Times New Roman" w:cs="Times New Roman"/>
                <w:sz w:val="24"/>
                <w:szCs w:val="24"/>
                <w:highlight w:val="none"/>
              </w:rPr>
              <w:t>年</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rPr>
              <w:t>月</w:t>
            </w:r>
            <w:r>
              <w:rPr>
                <w:rFonts w:hint="eastAsia" w:ascii="Times New Roman" w:hAnsi="Times New Roman" w:cs="Times New Roman"/>
                <w:sz w:val="24"/>
                <w:szCs w:val="24"/>
                <w:highlight w:val="none"/>
                <w:lang w:val="en-US" w:eastAsia="zh-CN"/>
              </w:rPr>
              <w:t>27</w:t>
            </w:r>
            <w:r>
              <w:rPr>
                <w:rFonts w:hint="eastAsia" w:ascii="Times New Roman" w:hAnsi="Times New Roman" w:cs="Times New Roman"/>
                <w:sz w:val="24"/>
                <w:szCs w:val="24"/>
                <w:highlight w:val="none"/>
              </w:rPr>
              <w:t>日至</w:t>
            </w:r>
            <w:r>
              <w:rPr>
                <w:rFonts w:hint="eastAsia" w:ascii="Times New Roman" w:hAnsi="Times New Roman" w:cs="Times New Roman"/>
                <w:sz w:val="24"/>
                <w:szCs w:val="24"/>
                <w:highlight w:val="none"/>
                <w:lang w:val="en-US" w:eastAsia="zh-CN"/>
              </w:rPr>
              <w:t>11</w:t>
            </w:r>
            <w:r>
              <w:rPr>
                <w:rFonts w:hint="eastAsia" w:ascii="Times New Roman" w:hAnsi="Times New Roman" w:cs="Times New Roman"/>
                <w:sz w:val="24"/>
                <w:szCs w:val="24"/>
                <w:highlight w:val="none"/>
              </w:rPr>
              <w:t>月</w:t>
            </w:r>
            <w:r>
              <w:rPr>
                <w:rFonts w:hint="eastAsia" w:ascii="Times New Roman" w:hAnsi="Times New Roman" w:cs="Times New Roman"/>
                <w:sz w:val="24"/>
                <w:szCs w:val="24"/>
                <w:highlight w:val="none"/>
                <w:lang w:val="en-US" w:eastAsia="zh-CN"/>
              </w:rPr>
              <w:t>28</w:t>
            </w:r>
            <w:r>
              <w:rPr>
                <w:rFonts w:hint="eastAsia" w:ascii="Times New Roman" w:hAnsi="Times New Roman" w:cs="Times New Roman"/>
                <w:sz w:val="24"/>
                <w:szCs w:val="24"/>
                <w:highlight w:val="none"/>
              </w:rPr>
              <w:t>日对本项目进行噪声验收监测，其采样期间气象情况如下所示。</w:t>
            </w:r>
          </w:p>
          <w:p w14:paraId="6A50BB4A">
            <w:pPr>
              <w:spacing w:line="276" w:lineRule="auto"/>
              <w:jc w:val="center"/>
              <w:rPr>
                <w:rFonts w:ascii="Times New Roman" w:hAnsi="Times New Roman" w:eastAsia="宋体" w:cs="Times New Roman"/>
                <w:sz w:val="24"/>
                <w:szCs w:val="24"/>
                <w:highlight w:val="none"/>
                <w:lang w:bidi="ar"/>
              </w:rPr>
            </w:pPr>
            <w:r>
              <w:rPr>
                <w:rFonts w:hint="eastAsia" w:ascii="Times New Roman" w:hAnsi="Times New Roman" w:eastAsia="宋体" w:cs="Times New Roman"/>
                <w:sz w:val="24"/>
                <w:szCs w:val="24"/>
                <w:highlight w:val="none"/>
                <w:lang w:bidi="ar"/>
              </w:rPr>
              <w:t>表</w:t>
            </w:r>
            <w:r>
              <w:rPr>
                <w:rFonts w:ascii="Times New Roman" w:hAnsi="Times New Roman" w:eastAsia="宋体" w:cs="Times New Roman"/>
                <w:sz w:val="24"/>
                <w:szCs w:val="24"/>
                <w:highlight w:val="none"/>
                <w:lang w:bidi="ar"/>
              </w:rPr>
              <w:t>7-</w:t>
            </w:r>
            <w:r>
              <w:rPr>
                <w:rFonts w:hint="eastAsia" w:ascii="Times New Roman" w:hAnsi="Times New Roman" w:eastAsia="宋体" w:cs="Times New Roman"/>
                <w:sz w:val="24"/>
                <w:szCs w:val="24"/>
                <w:highlight w:val="none"/>
                <w:lang w:val="en-US" w:eastAsia="zh-CN" w:bidi="ar"/>
              </w:rPr>
              <w:t>2</w:t>
            </w:r>
            <w:r>
              <w:rPr>
                <w:rFonts w:ascii="Times New Roman" w:hAnsi="Times New Roman" w:eastAsia="宋体" w:cs="Times New Roman"/>
                <w:sz w:val="24"/>
                <w:szCs w:val="24"/>
                <w:highlight w:val="none"/>
                <w:lang w:bidi="ar"/>
              </w:rPr>
              <w:t xml:space="preserve">  </w:t>
            </w:r>
            <w:r>
              <w:rPr>
                <w:rFonts w:hint="eastAsia" w:ascii="Times New Roman" w:hAnsi="Times New Roman" w:eastAsia="宋体" w:cs="Times New Roman"/>
                <w:sz w:val="24"/>
                <w:szCs w:val="24"/>
                <w:highlight w:val="none"/>
                <w:lang w:bidi="ar"/>
              </w:rPr>
              <w:t>噪声监测结果</w:t>
            </w:r>
            <w:r>
              <w:rPr>
                <w:rFonts w:ascii="Times New Roman" w:hAnsi="Times New Roman" w:eastAsia="宋体" w:cs="Times New Roman"/>
                <w:sz w:val="24"/>
                <w:szCs w:val="24"/>
                <w:highlight w:val="none"/>
                <w:lang w:bidi="ar"/>
              </w:rPr>
              <w:t xml:space="preserve">    </w:t>
            </w:r>
            <w:r>
              <w:rPr>
                <w:rFonts w:hint="eastAsia" w:ascii="Times New Roman" w:hAnsi="Times New Roman" w:eastAsia="宋体" w:cs="Times New Roman"/>
                <w:sz w:val="24"/>
                <w:szCs w:val="24"/>
                <w:highlight w:val="none"/>
                <w:lang w:bidi="ar"/>
              </w:rPr>
              <w:t>单位：</w:t>
            </w:r>
            <w:r>
              <w:rPr>
                <w:rFonts w:ascii="Times New Roman" w:hAnsi="Times New Roman" w:eastAsia="宋体" w:cs="Times New Roman"/>
                <w:sz w:val="24"/>
                <w:szCs w:val="24"/>
                <w:highlight w:val="none"/>
                <w:lang w:bidi="ar"/>
              </w:rPr>
              <w:t>dB</w:t>
            </w:r>
            <w:r>
              <w:rPr>
                <w:rFonts w:hint="eastAsia" w:ascii="Times New Roman" w:hAnsi="Times New Roman" w:eastAsia="宋体" w:cs="Times New Roman"/>
                <w:sz w:val="24"/>
                <w:szCs w:val="24"/>
                <w:highlight w:val="none"/>
                <w:lang w:bidi="ar"/>
              </w:rPr>
              <w:t>（</w:t>
            </w:r>
            <w:r>
              <w:rPr>
                <w:rFonts w:ascii="Times New Roman" w:hAnsi="Times New Roman" w:eastAsia="宋体" w:cs="Times New Roman"/>
                <w:sz w:val="24"/>
                <w:szCs w:val="24"/>
                <w:highlight w:val="none"/>
                <w:lang w:bidi="ar"/>
              </w:rPr>
              <w:t>A</w:t>
            </w:r>
            <w:r>
              <w:rPr>
                <w:rFonts w:hint="eastAsia" w:ascii="Times New Roman" w:hAnsi="Times New Roman" w:eastAsia="宋体" w:cs="Times New Roman"/>
                <w:sz w:val="24"/>
                <w:szCs w:val="24"/>
                <w:highlight w:val="none"/>
                <w:lang w:bidi="ar"/>
              </w:rPr>
              <w:t>）</w:t>
            </w:r>
          </w:p>
          <w:tbl>
            <w:tblPr>
              <w:tblStyle w:val="19"/>
              <w:tblpPr w:leftFromText="180" w:rightFromText="180" w:vertAnchor="text" w:horzAnchor="margin" w:tblpXSpec="center" w:tblpY="68"/>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38"/>
              <w:gridCol w:w="1015"/>
              <w:gridCol w:w="923"/>
              <w:gridCol w:w="1119"/>
              <w:gridCol w:w="1050"/>
              <w:gridCol w:w="935"/>
              <w:gridCol w:w="1239"/>
            </w:tblGrid>
            <w:tr w14:paraId="0CB5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083" w:type="pct"/>
                  <w:vMerge w:val="restart"/>
                  <w:tcBorders>
                    <w:tl2br w:val="nil"/>
                    <w:tr2bl w:val="nil"/>
                  </w:tcBorders>
                  <w:vAlign w:val="center"/>
                </w:tcPr>
                <w:p w14:paraId="427C4F6F">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测点位置</w:t>
                  </w:r>
                </w:p>
              </w:tc>
              <w:tc>
                <w:tcPr>
                  <w:tcW w:w="3916" w:type="pct"/>
                  <w:gridSpan w:val="6"/>
                  <w:tcBorders>
                    <w:tl2br w:val="nil"/>
                    <w:tr2bl w:val="nil"/>
                  </w:tcBorders>
                  <w:vAlign w:val="center"/>
                </w:tcPr>
                <w:p w14:paraId="5078E2C8">
                  <w:pPr>
                    <w:spacing w:line="360" w:lineRule="auto"/>
                    <w:jc w:val="center"/>
                    <w:rPr>
                      <w:rFonts w:ascii="Times New Roman" w:hAnsi="Times New Roman" w:eastAsia="宋体" w:cs="Times New Roman"/>
                      <w:kern w:val="0"/>
                      <w:szCs w:val="21"/>
                      <w:highlight w:val="none"/>
                    </w:rPr>
                  </w:pPr>
                  <w:r>
                    <w:rPr>
                      <w:rFonts w:ascii="Times New Roman" w:hAnsi="Times New Roman" w:eastAsia="宋体" w:cs="Times New Roman"/>
                      <w:kern w:val="0"/>
                      <w:szCs w:val="21"/>
                      <w:highlight w:val="none"/>
                    </w:rPr>
                    <w:t>等效连续A声级 单位：dB（A）</w:t>
                  </w:r>
                </w:p>
              </w:tc>
            </w:tr>
            <w:tr w14:paraId="519C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083" w:type="pct"/>
                  <w:vMerge w:val="continue"/>
                  <w:tcBorders>
                    <w:tl2br w:val="nil"/>
                    <w:tr2bl w:val="nil"/>
                  </w:tcBorders>
                  <w:vAlign w:val="center"/>
                </w:tcPr>
                <w:p w14:paraId="12D4C695">
                  <w:pPr>
                    <w:spacing w:line="360" w:lineRule="auto"/>
                    <w:jc w:val="center"/>
                    <w:rPr>
                      <w:rFonts w:ascii="Times New Roman" w:hAnsi="Times New Roman" w:eastAsia="宋体" w:cs="Times New Roman"/>
                      <w:bCs/>
                      <w:szCs w:val="21"/>
                      <w:highlight w:val="none"/>
                    </w:rPr>
                  </w:pPr>
                </w:p>
              </w:tc>
              <w:tc>
                <w:tcPr>
                  <w:tcW w:w="1906" w:type="pct"/>
                  <w:gridSpan w:val="3"/>
                  <w:tcBorders>
                    <w:tl2br w:val="nil"/>
                    <w:tr2bl w:val="nil"/>
                  </w:tcBorders>
                  <w:vAlign w:val="center"/>
                </w:tcPr>
                <w:p w14:paraId="7612B916">
                  <w:pPr>
                    <w:spacing w:line="360" w:lineRule="auto"/>
                    <w:jc w:val="center"/>
                    <w:rPr>
                      <w:rFonts w:hint="eastAsia" w:ascii="Times New Roman" w:hAnsi="Times New Roman" w:eastAsia="宋体" w:cs="Times New Roman"/>
                      <w:kern w:val="0"/>
                      <w:szCs w:val="21"/>
                      <w:highlight w:val="none"/>
                    </w:rPr>
                  </w:pPr>
                  <w:r>
                    <w:rPr>
                      <w:rFonts w:hint="eastAsia" w:ascii="Times New Roman" w:hAnsi="Times New Roman" w:eastAsia="宋体" w:cs="Times New Roman"/>
                      <w:kern w:val="0"/>
                      <w:szCs w:val="21"/>
                      <w:highlight w:val="none"/>
                    </w:rPr>
                    <w:t>第一周期（</w:t>
                  </w:r>
                  <w:r>
                    <w:rPr>
                      <w:rFonts w:hint="eastAsia" w:ascii="Times New Roman" w:hAnsi="Times New Roman" w:eastAsia="宋体" w:cs="Times New Roman"/>
                      <w:kern w:val="0"/>
                      <w:szCs w:val="21"/>
                      <w:highlight w:val="none"/>
                      <w:lang w:val="en-US" w:eastAsia="zh-CN"/>
                    </w:rPr>
                    <w:t>2025.11.27</w:t>
                  </w:r>
                  <w:r>
                    <w:rPr>
                      <w:rFonts w:hint="eastAsia" w:ascii="Times New Roman" w:hAnsi="Times New Roman" w:eastAsia="宋体" w:cs="Times New Roman"/>
                      <w:kern w:val="0"/>
                      <w:szCs w:val="21"/>
                      <w:highlight w:val="none"/>
                    </w:rPr>
                    <w:t>）</w:t>
                  </w:r>
                </w:p>
              </w:tc>
              <w:tc>
                <w:tcPr>
                  <w:tcW w:w="2010" w:type="pct"/>
                  <w:gridSpan w:val="3"/>
                  <w:tcBorders>
                    <w:tl2br w:val="nil"/>
                    <w:tr2bl w:val="nil"/>
                  </w:tcBorders>
                  <w:vAlign w:val="center"/>
                </w:tcPr>
                <w:p w14:paraId="7303568B">
                  <w:pPr>
                    <w:spacing w:line="360" w:lineRule="auto"/>
                    <w:jc w:val="center"/>
                    <w:rPr>
                      <w:rFonts w:hint="eastAsia" w:ascii="Times New Roman" w:hAnsi="Times New Roman" w:eastAsia="宋体" w:cs="Times New Roman"/>
                      <w:kern w:val="0"/>
                      <w:szCs w:val="21"/>
                      <w:highlight w:val="none"/>
                    </w:rPr>
                  </w:pPr>
                  <w:r>
                    <w:rPr>
                      <w:rFonts w:hint="eastAsia" w:ascii="Times New Roman" w:hAnsi="Times New Roman" w:eastAsia="宋体" w:cs="Times New Roman"/>
                      <w:kern w:val="0"/>
                      <w:szCs w:val="21"/>
                      <w:highlight w:val="none"/>
                    </w:rPr>
                    <w:t>第二周期（202</w:t>
                  </w:r>
                  <w:r>
                    <w:rPr>
                      <w:rFonts w:hint="eastAsia" w:ascii="Times New Roman" w:hAnsi="Times New Roman" w:eastAsia="宋体" w:cs="Times New Roman"/>
                      <w:kern w:val="0"/>
                      <w:szCs w:val="21"/>
                      <w:highlight w:val="none"/>
                      <w:lang w:val="en-US" w:eastAsia="zh-CN"/>
                    </w:rPr>
                    <w:t>5.11.28</w:t>
                  </w:r>
                  <w:r>
                    <w:rPr>
                      <w:rFonts w:hint="eastAsia" w:ascii="Times New Roman" w:hAnsi="Times New Roman" w:eastAsia="宋体" w:cs="Times New Roman"/>
                      <w:kern w:val="0"/>
                      <w:szCs w:val="21"/>
                      <w:highlight w:val="none"/>
                    </w:rPr>
                    <w:t>）</w:t>
                  </w:r>
                </w:p>
              </w:tc>
            </w:tr>
            <w:tr w14:paraId="75A4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083" w:type="pct"/>
                  <w:vMerge w:val="continue"/>
                  <w:tcBorders>
                    <w:tl2br w:val="nil"/>
                    <w:tr2bl w:val="nil"/>
                  </w:tcBorders>
                  <w:vAlign w:val="center"/>
                </w:tcPr>
                <w:p w14:paraId="738148D2">
                  <w:pPr>
                    <w:spacing w:line="360" w:lineRule="auto"/>
                    <w:jc w:val="center"/>
                    <w:rPr>
                      <w:rFonts w:ascii="Times New Roman" w:hAnsi="Times New Roman" w:eastAsia="宋体" w:cs="Times New Roman"/>
                      <w:bCs/>
                      <w:szCs w:val="21"/>
                      <w:highlight w:val="none"/>
                    </w:rPr>
                  </w:pPr>
                </w:p>
              </w:tc>
              <w:tc>
                <w:tcPr>
                  <w:tcW w:w="632" w:type="pct"/>
                  <w:tcBorders>
                    <w:tl2br w:val="nil"/>
                    <w:tr2bl w:val="nil"/>
                  </w:tcBorders>
                  <w:vAlign w:val="center"/>
                </w:tcPr>
                <w:p w14:paraId="7D2F460F">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昼间</w:t>
                  </w:r>
                </w:p>
              </w:tc>
              <w:tc>
                <w:tcPr>
                  <w:tcW w:w="575" w:type="pct"/>
                  <w:tcBorders>
                    <w:tl2br w:val="nil"/>
                    <w:tr2bl w:val="nil"/>
                  </w:tcBorders>
                  <w:vAlign w:val="center"/>
                </w:tcPr>
                <w:p w14:paraId="6D1445CF">
                  <w:pPr>
                    <w:spacing w:line="360" w:lineRule="auto"/>
                    <w:jc w:val="center"/>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val="en-US" w:eastAsia="zh-CN"/>
                    </w:rPr>
                    <w:t>夜间</w:t>
                  </w:r>
                </w:p>
              </w:tc>
              <w:tc>
                <w:tcPr>
                  <w:tcW w:w="697" w:type="pct"/>
                  <w:tcBorders>
                    <w:tl2br w:val="nil"/>
                    <w:tr2bl w:val="nil"/>
                  </w:tcBorders>
                  <w:vAlign w:val="center"/>
                </w:tcPr>
                <w:p w14:paraId="0F144352">
                  <w:pPr>
                    <w:spacing w:line="360" w:lineRule="auto"/>
                    <w:jc w:val="center"/>
                    <w:rPr>
                      <w:rFonts w:ascii="Times New Roman" w:hAnsi="Times New Roman" w:eastAsia="宋体" w:cs="Times New Roman"/>
                      <w:bCs/>
                      <w:szCs w:val="21"/>
                      <w:highlight w:val="none"/>
                    </w:rPr>
                  </w:pPr>
                  <w:r>
                    <w:rPr>
                      <w:rFonts w:hint="eastAsia" w:ascii="Times New Roman" w:hAnsi="Times New Roman" w:eastAsia="宋体" w:cs="Times New Roman"/>
                      <w:bCs/>
                      <w:szCs w:val="21"/>
                      <w:highlight w:val="none"/>
                    </w:rPr>
                    <w:t>主要声源</w:t>
                  </w:r>
                </w:p>
              </w:tc>
              <w:tc>
                <w:tcPr>
                  <w:tcW w:w="654" w:type="pct"/>
                  <w:tcBorders>
                    <w:tl2br w:val="nil"/>
                    <w:tr2bl w:val="nil"/>
                  </w:tcBorders>
                  <w:vAlign w:val="center"/>
                </w:tcPr>
                <w:p w14:paraId="16947A84">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昼间</w:t>
                  </w:r>
                </w:p>
              </w:tc>
              <w:tc>
                <w:tcPr>
                  <w:tcW w:w="582" w:type="pct"/>
                  <w:tcBorders>
                    <w:tl2br w:val="nil"/>
                    <w:tr2bl w:val="nil"/>
                  </w:tcBorders>
                  <w:vAlign w:val="center"/>
                </w:tcPr>
                <w:p w14:paraId="2DE58710">
                  <w:pPr>
                    <w:spacing w:line="360" w:lineRule="auto"/>
                    <w:jc w:val="center"/>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val="en-US" w:eastAsia="zh-CN"/>
                    </w:rPr>
                    <w:t>夜间</w:t>
                  </w:r>
                </w:p>
              </w:tc>
              <w:tc>
                <w:tcPr>
                  <w:tcW w:w="772" w:type="pct"/>
                  <w:tcBorders>
                    <w:tl2br w:val="nil"/>
                    <w:tr2bl w:val="nil"/>
                  </w:tcBorders>
                  <w:vAlign w:val="center"/>
                </w:tcPr>
                <w:p w14:paraId="74E2CDAF">
                  <w:pPr>
                    <w:spacing w:line="360" w:lineRule="auto"/>
                    <w:jc w:val="center"/>
                    <w:rPr>
                      <w:rFonts w:ascii="Times New Roman" w:hAnsi="Times New Roman" w:eastAsia="宋体" w:cs="Times New Roman"/>
                      <w:bCs/>
                      <w:szCs w:val="21"/>
                      <w:highlight w:val="none"/>
                    </w:rPr>
                  </w:pPr>
                  <w:r>
                    <w:rPr>
                      <w:rFonts w:hint="eastAsia" w:ascii="Times New Roman" w:hAnsi="Times New Roman" w:eastAsia="宋体" w:cs="Times New Roman"/>
                      <w:bCs/>
                      <w:szCs w:val="21"/>
                      <w:highlight w:val="none"/>
                    </w:rPr>
                    <w:t>主要声源</w:t>
                  </w:r>
                </w:p>
              </w:tc>
            </w:tr>
            <w:tr w14:paraId="45F8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083" w:type="pct"/>
                  <w:tcBorders>
                    <w:tl2br w:val="nil"/>
                    <w:tr2bl w:val="nil"/>
                  </w:tcBorders>
                  <w:vAlign w:val="center"/>
                </w:tcPr>
                <w:p w14:paraId="12803CF9">
                  <w:pPr>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东侧厂界外1米1#</w:t>
                  </w:r>
                </w:p>
              </w:tc>
              <w:tc>
                <w:tcPr>
                  <w:tcW w:w="632" w:type="pct"/>
                  <w:tcBorders>
                    <w:tl2br w:val="nil"/>
                    <w:tr2bl w:val="nil"/>
                  </w:tcBorders>
                  <w:vAlign w:val="center"/>
                </w:tcPr>
                <w:p w14:paraId="0492C23A">
                  <w:pPr>
                    <w:jc w:val="center"/>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54</w:t>
                  </w:r>
                </w:p>
              </w:tc>
              <w:tc>
                <w:tcPr>
                  <w:tcW w:w="575" w:type="pct"/>
                  <w:tcBorders>
                    <w:tl2br w:val="nil"/>
                    <w:tr2bl w:val="nil"/>
                  </w:tcBorders>
                  <w:vAlign w:val="center"/>
                </w:tcPr>
                <w:p w14:paraId="2895EE97">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49</w:t>
                  </w:r>
                </w:p>
              </w:tc>
              <w:tc>
                <w:tcPr>
                  <w:tcW w:w="697" w:type="pct"/>
                  <w:tcBorders>
                    <w:tl2br w:val="nil"/>
                    <w:tr2bl w:val="nil"/>
                  </w:tcBorders>
                  <w:vAlign w:val="center"/>
                </w:tcPr>
                <w:p w14:paraId="1FBF52A5">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生产</w:t>
                  </w:r>
                </w:p>
              </w:tc>
              <w:tc>
                <w:tcPr>
                  <w:tcW w:w="654" w:type="pct"/>
                  <w:tcBorders>
                    <w:tl2br w:val="nil"/>
                    <w:tr2bl w:val="nil"/>
                  </w:tcBorders>
                  <w:vAlign w:val="center"/>
                </w:tcPr>
                <w:p w14:paraId="49736908">
                  <w:pPr>
                    <w:jc w:val="center"/>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53</w:t>
                  </w:r>
                </w:p>
              </w:tc>
              <w:tc>
                <w:tcPr>
                  <w:tcW w:w="582" w:type="pct"/>
                  <w:tcBorders>
                    <w:tl2br w:val="nil"/>
                    <w:tr2bl w:val="nil"/>
                  </w:tcBorders>
                  <w:vAlign w:val="center"/>
                </w:tcPr>
                <w:p w14:paraId="48B38251">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52</w:t>
                  </w:r>
                </w:p>
              </w:tc>
              <w:tc>
                <w:tcPr>
                  <w:tcW w:w="772" w:type="pct"/>
                  <w:tcBorders>
                    <w:tl2br w:val="nil"/>
                    <w:tr2bl w:val="nil"/>
                  </w:tcBorders>
                  <w:vAlign w:val="center"/>
                </w:tcPr>
                <w:p w14:paraId="679D5124">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生产</w:t>
                  </w:r>
                </w:p>
              </w:tc>
            </w:tr>
            <w:tr w14:paraId="1869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1083" w:type="pct"/>
                  <w:tcBorders>
                    <w:tl2br w:val="nil"/>
                    <w:tr2bl w:val="nil"/>
                  </w:tcBorders>
                  <w:vAlign w:val="center"/>
                </w:tcPr>
                <w:p w14:paraId="0B4572A0">
                  <w:pPr>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标准限值</w:t>
                  </w:r>
                </w:p>
              </w:tc>
              <w:tc>
                <w:tcPr>
                  <w:tcW w:w="632" w:type="pct"/>
                  <w:tcBorders>
                    <w:tl2br w:val="nil"/>
                    <w:tr2bl w:val="nil"/>
                  </w:tcBorders>
                  <w:vAlign w:val="center"/>
                </w:tcPr>
                <w:p w14:paraId="7064B9E1">
                  <w:pPr>
                    <w:spacing w:line="360" w:lineRule="auto"/>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65</w:t>
                  </w:r>
                </w:p>
              </w:tc>
              <w:tc>
                <w:tcPr>
                  <w:tcW w:w="575" w:type="pct"/>
                  <w:tcBorders>
                    <w:tl2br w:val="nil"/>
                    <w:tr2bl w:val="nil"/>
                  </w:tcBorders>
                  <w:vAlign w:val="center"/>
                </w:tcPr>
                <w:p w14:paraId="4BAA07F9">
                  <w:pPr>
                    <w:spacing w:line="360" w:lineRule="auto"/>
                    <w:jc w:val="center"/>
                    <w:rPr>
                      <w:rFonts w:hint="default" w:ascii="Times New Roman" w:hAnsi="Times New Roman" w:eastAsia="宋体"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55</w:t>
                  </w:r>
                </w:p>
              </w:tc>
              <w:tc>
                <w:tcPr>
                  <w:tcW w:w="697" w:type="pct"/>
                  <w:tcBorders>
                    <w:tl2br w:val="nil"/>
                    <w:tr2bl w:val="nil"/>
                  </w:tcBorders>
                  <w:vAlign w:val="center"/>
                </w:tcPr>
                <w:p w14:paraId="52B58CAF">
                  <w:pPr>
                    <w:spacing w:line="360" w:lineRule="auto"/>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w:t>
                  </w:r>
                </w:p>
              </w:tc>
              <w:tc>
                <w:tcPr>
                  <w:tcW w:w="654" w:type="pct"/>
                  <w:tcBorders>
                    <w:tl2br w:val="nil"/>
                    <w:tr2bl w:val="nil"/>
                  </w:tcBorders>
                  <w:vAlign w:val="center"/>
                </w:tcPr>
                <w:p w14:paraId="00F4122E">
                  <w:pPr>
                    <w:spacing w:line="360" w:lineRule="auto"/>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65</w:t>
                  </w:r>
                </w:p>
              </w:tc>
              <w:tc>
                <w:tcPr>
                  <w:tcW w:w="582" w:type="pct"/>
                  <w:tcBorders>
                    <w:tl2br w:val="nil"/>
                    <w:tr2bl w:val="nil"/>
                  </w:tcBorders>
                  <w:vAlign w:val="center"/>
                </w:tcPr>
                <w:p w14:paraId="46EC1903">
                  <w:pPr>
                    <w:spacing w:line="360" w:lineRule="auto"/>
                    <w:jc w:val="center"/>
                    <w:rPr>
                      <w:rFonts w:hint="default" w:ascii="Times New Roman" w:hAnsi="Times New Roman" w:eastAsia="宋体"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55</w:t>
                  </w:r>
                </w:p>
              </w:tc>
              <w:tc>
                <w:tcPr>
                  <w:tcW w:w="772" w:type="pct"/>
                  <w:tcBorders>
                    <w:tl2br w:val="nil"/>
                    <w:tr2bl w:val="nil"/>
                  </w:tcBorders>
                  <w:vAlign w:val="center"/>
                </w:tcPr>
                <w:p w14:paraId="5ABB7D54">
                  <w:pPr>
                    <w:spacing w:line="360" w:lineRule="auto"/>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w:t>
                  </w:r>
                </w:p>
              </w:tc>
            </w:tr>
            <w:tr w14:paraId="03D9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083" w:type="pct"/>
                  <w:tcBorders>
                    <w:tl2br w:val="nil"/>
                    <w:tr2bl w:val="nil"/>
                  </w:tcBorders>
                  <w:vAlign w:val="center"/>
                </w:tcPr>
                <w:p w14:paraId="0329E00B">
                  <w:pPr>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南侧厂界外1米1#</w:t>
                  </w:r>
                </w:p>
              </w:tc>
              <w:tc>
                <w:tcPr>
                  <w:tcW w:w="632" w:type="pct"/>
                  <w:tcBorders>
                    <w:tl2br w:val="nil"/>
                    <w:tr2bl w:val="nil"/>
                  </w:tcBorders>
                  <w:vAlign w:val="center"/>
                </w:tcPr>
                <w:p w14:paraId="7A4499C7">
                  <w:pPr>
                    <w:jc w:val="center"/>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64</w:t>
                  </w:r>
                </w:p>
              </w:tc>
              <w:tc>
                <w:tcPr>
                  <w:tcW w:w="575" w:type="pct"/>
                  <w:tcBorders>
                    <w:tl2br w:val="nil"/>
                    <w:tr2bl w:val="nil"/>
                  </w:tcBorders>
                  <w:vAlign w:val="center"/>
                </w:tcPr>
                <w:p w14:paraId="589A047A">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51</w:t>
                  </w:r>
                </w:p>
              </w:tc>
              <w:tc>
                <w:tcPr>
                  <w:tcW w:w="697" w:type="pct"/>
                  <w:tcBorders>
                    <w:tl2br w:val="nil"/>
                    <w:tr2bl w:val="nil"/>
                  </w:tcBorders>
                  <w:vAlign w:val="center"/>
                </w:tcPr>
                <w:p w14:paraId="5109A75E">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交通</w:t>
                  </w:r>
                </w:p>
              </w:tc>
              <w:tc>
                <w:tcPr>
                  <w:tcW w:w="654" w:type="pct"/>
                  <w:tcBorders>
                    <w:tl2br w:val="nil"/>
                    <w:tr2bl w:val="nil"/>
                  </w:tcBorders>
                  <w:vAlign w:val="center"/>
                </w:tcPr>
                <w:p w14:paraId="389758E0">
                  <w:pPr>
                    <w:jc w:val="center"/>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64</w:t>
                  </w:r>
                </w:p>
              </w:tc>
              <w:tc>
                <w:tcPr>
                  <w:tcW w:w="582" w:type="pct"/>
                  <w:tcBorders>
                    <w:tl2br w:val="nil"/>
                    <w:tr2bl w:val="nil"/>
                  </w:tcBorders>
                  <w:vAlign w:val="center"/>
                </w:tcPr>
                <w:p w14:paraId="478E20A2">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54</w:t>
                  </w:r>
                </w:p>
              </w:tc>
              <w:tc>
                <w:tcPr>
                  <w:tcW w:w="772" w:type="pct"/>
                  <w:tcBorders>
                    <w:tl2br w:val="nil"/>
                    <w:tr2bl w:val="nil"/>
                  </w:tcBorders>
                  <w:vAlign w:val="center"/>
                </w:tcPr>
                <w:p w14:paraId="0B4E8957">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生产、</w:t>
                  </w:r>
                  <w:r>
                    <w:rPr>
                      <w:rFonts w:hint="eastAsia" w:ascii="Times New Roman" w:hAnsi="Times New Roman" w:eastAsia="宋体" w:cs="Times New Roman"/>
                      <w:szCs w:val="21"/>
                      <w:highlight w:val="none"/>
                    </w:rPr>
                    <w:t>交通</w:t>
                  </w:r>
                </w:p>
              </w:tc>
            </w:tr>
            <w:tr w14:paraId="22FD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083" w:type="pct"/>
                  <w:tcBorders>
                    <w:tl2br w:val="nil"/>
                    <w:tr2bl w:val="nil"/>
                  </w:tcBorders>
                  <w:vAlign w:val="center"/>
                </w:tcPr>
                <w:p w14:paraId="6E8957D5">
                  <w:pPr>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西侧厂界外1米1#</w:t>
                  </w:r>
                </w:p>
              </w:tc>
              <w:tc>
                <w:tcPr>
                  <w:tcW w:w="632" w:type="pct"/>
                  <w:tcBorders>
                    <w:tl2br w:val="nil"/>
                    <w:tr2bl w:val="nil"/>
                  </w:tcBorders>
                  <w:vAlign w:val="center"/>
                </w:tcPr>
                <w:p w14:paraId="7703E77F">
                  <w:pPr>
                    <w:jc w:val="center"/>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53</w:t>
                  </w:r>
                </w:p>
              </w:tc>
              <w:tc>
                <w:tcPr>
                  <w:tcW w:w="575" w:type="pct"/>
                  <w:tcBorders>
                    <w:tl2br w:val="nil"/>
                    <w:tr2bl w:val="nil"/>
                  </w:tcBorders>
                  <w:vAlign w:val="center"/>
                </w:tcPr>
                <w:p w14:paraId="1DB7F7F3">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52</w:t>
                  </w:r>
                </w:p>
              </w:tc>
              <w:tc>
                <w:tcPr>
                  <w:tcW w:w="697" w:type="pct"/>
                  <w:tcBorders>
                    <w:tl2br w:val="nil"/>
                    <w:tr2bl w:val="nil"/>
                  </w:tcBorders>
                  <w:vAlign w:val="center"/>
                </w:tcPr>
                <w:p w14:paraId="585BF5BD">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交通</w:t>
                  </w:r>
                </w:p>
              </w:tc>
              <w:tc>
                <w:tcPr>
                  <w:tcW w:w="654" w:type="pct"/>
                  <w:tcBorders>
                    <w:tl2br w:val="nil"/>
                    <w:tr2bl w:val="nil"/>
                  </w:tcBorders>
                  <w:vAlign w:val="center"/>
                </w:tcPr>
                <w:p w14:paraId="4CDFFBAE">
                  <w:pPr>
                    <w:jc w:val="center"/>
                    <w:rPr>
                      <w:rFonts w:hint="default" w:ascii="Times New Roman" w:hAnsi="Times New Roman" w:cs="Times New Roman" w:eastAsiaTheme="minorEastAsia"/>
                      <w:szCs w:val="21"/>
                      <w:highlight w:val="none"/>
                      <w:lang w:val="en-US" w:eastAsia="zh-CN"/>
                    </w:rPr>
                  </w:pPr>
                  <w:r>
                    <w:rPr>
                      <w:rFonts w:hint="eastAsia" w:ascii="Times New Roman" w:hAnsi="Times New Roman" w:cs="Times New Roman"/>
                      <w:szCs w:val="21"/>
                      <w:highlight w:val="none"/>
                      <w:lang w:val="en-US" w:eastAsia="zh-CN"/>
                    </w:rPr>
                    <w:t>60</w:t>
                  </w:r>
                </w:p>
              </w:tc>
              <w:tc>
                <w:tcPr>
                  <w:tcW w:w="582" w:type="pct"/>
                  <w:tcBorders>
                    <w:tl2br w:val="nil"/>
                    <w:tr2bl w:val="nil"/>
                  </w:tcBorders>
                  <w:vAlign w:val="center"/>
                </w:tcPr>
                <w:p w14:paraId="7F10CDA5">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53</w:t>
                  </w:r>
                </w:p>
              </w:tc>
              <w:tc>
                <w:tcPr>
                  <w:tcW w:w="772" w:type="pct"/>
                  <w:tcBorders>
                    <w:tl2br w:val="nil"/>
                    <w:tr2bl w:val="nil"/>
                  </w:tcBorders>
                  <w:vAlign w:val="center"/>
                </w:tcPr>
                <w:p w14:paraId="486EB425">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生产、交通、邻厂生产</w:t>
                  </w:r>
                </w:p>
              </w:tc>
            </w:tr>
            <w:tr w14:paraId="3C5D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083" w:type="pct"/>
                  <w:tcBorders>
                    <w:tl2br w:val="nil"/>
                    <w:tr2bl w:val="nil"/>
                  </w:tcBorders>
                  <w:vAlign w:val="center"/>
                </w:tcPr>
                <w:p w14:paraId="48FEB644">
                  <w:pPr>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北侧厂界外1米1#</w:t>
                  </w:r>
                </w:p>
              </w:tc>
              <w:tc>
                <w:tcPr>
                  <w:tcW w:w="632" w:type="pct"/>
                  <w:tcBorders>
                    <w:tl2br w:val="nil"/>
                    <w:tr2bl w:val="nil"/>
                  </w:tcBorders>
                  <w:shd w:val="clear" w:color="auto" w:fill="auto"/>
                  <w:vAlign w:val="center"/>
                </w:tcPr>
                <w:p w14:paraId="58853B31">
                  <w:pPr>
                    <w:jc w:val="center"/>
                    <w:rPr>
                      <w:rFonts w:hint="default"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szCs w:val="21"/>
                      <w:highlight w:val="none"/>
                      <w:lang w:val="en-US" w:eastAsia="zh-CN"/>
                    </w:rPr>
                    <w:t>60</w:t>
                  </w:r>
                </w:p>
              </w:tc>
              <w:tc>
                <w:tcPr>
                  <w:tcW w:w="575" w:type="pct"/>
                  <w:tcBorders>
                    <w:tl2br w:val="nil"/>
                    <w:tr2bl w:val="nil"/>
                  </w:tcBorders>
                  <w:shd w:val="clear" w:color="auto" w:fill="auto"/>
                  <w:vAlign w:val="center"/>
                </w:tcPr>
                <w:p w14:paraId="7C55460E">
                  <w:pPr>
                    <w:spacing w:line="360" w:lineRule="auto"/>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szCs w:val="21"/>
                      <w:highlight w:val="none"/>
                      <w:lang w:val="en-US" w:eastAsia="zh-CN"/>
                    </w:rPr>
                    <w:t>53</w:t>
                  </w:r>
                </w:p>
              </w:tc>
              <w:tc>
                <w:tcPr>
                  <w:tcW w:w="697" w:type="pct"/>
                  <w:tcBorders>
                    <w:tl2br w:val="nil"/>
                    <w:tr2bl w:val="nil"/>
                  </w:tcBorders>
                  <w:vAlign w:val="center"/>
                </w:tcPr>
                <w:p w14:paraId="56A48483">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交通</w:t>
                  </w:r>
                </w:p>
              </w:tc>
              <w:tc>
                <w:tcPr>
                  <w:tcW w:w="654" w:type="pct"/>
                  <w:tcBorders>
                    <w:tl2br w:val="nil"/>
                    <w:tr2bl w:val="nil"/>
                  </w:tcBorders>
                  <w:vAlign w:val="center"/>
                </w:tcPr>
                <w:p w14:paraId="4BA6AFB8">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59</w:t>
                  </w:r>
                </w:p>
              </w:tc>
              <w:tc>
                <w:tcPr>
                  <w:tcW w:w="582" w:type="pct"/>
                  <w:tcBorders>
                    <w:tl2br w:val="nil"/>
                    <w:tr2bl w:val="nil"/>
                  </w:tcBorders>
                  <w:vAlign w:val="center"/>
                </w:tcPr>
                <w:p w14:paraId="1B96C3D2">
                  <w:pPr>
                    <w:spacing w:line="360" w:lineRule="auto"/>
                    <w:jc w:val="center"/>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50</w:t>
                  </w:r>
                </w:p>
              </w:tc>
              <w:tc>
                <w:tcPr>
                  <w:tcW w:w="772" w:type="pct"/>
                  <w:tcBorders>
                    <w:tl2br w:val="nil"/>
                    <w:tr2bl w:val="nil"/>
                  </w:tcBorders>
                  <w:vAlign w:val="center"/>
                </w:tcPr>
                <w:p w14:paraId="1A985E46">
                  <w:pPr>
                    <w:spacing w:line="360" w:lineRule="auto"/>
                    <w:jc w:val="center"/>
                    <w:rPr>
                      <w:rFonts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生产、</w:t>
                  </w:r>
                  <w:r>
                    <w:rPr>
                      <w:rFonts w:hint="eastAsia" w:ascii="Times New Roman" w:hAnsi="Times New Roman" w:eastAsia="宋体" w:cs="Times New Roman"/>
                      <w:szCs w:val="21"/>
                      <w:highlight w:val="none"/>
                    </w:rPr>
                    <w:t>交通</w:t>
                  </w:r>
                </w:p>
              </w:tc>
            </w:tr>
            <w:tr w14:paraId="1E84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083" w:type="pct"/>
                  <w:tcBorders>
                    <w:tl2br w:val="nil"/>
                    <w:tr2bl w:val="nil"/>
                  </w:tcBorders>
                  <w:vAlign w:val="center"/>
                </w:tcPr>
                <w:p w14:paraId="2C27DC03">
                  <w:pPr>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标准限值</w:t>
                  </w:r>
                </w:p>
              </w:tc>
              <w:tc>
                <w:tcPr>
                  <w:tcW w:w="632" w:type="pct"/>
                  <w:tcBorders>
                    <w:tl2br w:val="nil"/>
                    <w:tr2bl w:val="nil"/>
                  </w:tcBorders>
                  <w:vAlign w:val="center"/>
                </w:tcPr>
                <w:p w14:paraId="61074780">
                  <w:pPr>
                    <w:spacing w:line="360" w:lineRule="auto"/>
                    <w:jc w:val="center"/>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rPr>
                    <w:t>7</w:t>
                  </w:r>
                  <w:r>
                    <w:rPr>
                      <w:rFonts w:hint="eastAsia" w:ascii="Times New Roman" w:hAnsi="Times New Roman" w:eastAsia="宋体" w:cs="Times New Roman"/>
                      <w:b/>
                      <w:bCs/>
                      <w:szCs w:val="21"/>
                      <w:highlight w:val="none"/>
                      <w:lang w:val="en-US" w:eastAsia="zh-CN"/>
                    </w:rPr>
                    <w:t>0</w:t>
                  </w:r>
                </w:p>
              </w:tc>
              <w:tc>
                <w:tcPr>
                  <w:tcW w:w="575" w:type="pct"/>
                  <w:tcBorders>
                    <w:tl2br w:val="nil"/>
                    <w:tr2bl w:val="nil"/>
                  </w:tcBorders>
                  <w:vAlign w:val="center"/>
                </w:tcPr>
                <w:p w14:paraId="1F9DDDAE">
                  <w:pPr>
                    <w:spacing w:line="360" w:lineRule="auto"/>
                    <w:jc w:val="center"/>
                    <w:rPr>
                      <w:rFonts w:hint="default" w:ascii="Times New Roman" w:hAnsi="Times New Roman" w:eastAsia="宋体"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55</w:t>
                  </w:r>
                </w:p>
              </w:tc>
              <w:tc>
                <w:tcPr>
                  <w:tcW w:w="697" w:type="pct"/>
                  <w:tcBorders>
                    <w:tl2br w:val="nil"/>
                    <w:tr2bl w:val="nil"/>
                  </w:tcBorders>
                  <w:vAlign w:val="center"/>
                </w:tcPr>
                <w:p w14:paraId="30F41891">
                  <w:pPr>
                    <w:spacing w:line="360" w:lineRule="auto"/>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w:t>
                  </w:r>
                </w:p>
              </w:tc>
              <w:tc>
                <w:tcPr>
                  <w:tcW w:w="654" w:type="pct"/>
                  <w:tcBorders>
                    <w:tl2br w:val="nil"/>
                    <w:tr2bl w:val="nil"/>
                  </w:tcBorders>
                  <w:vAlign w:val="center"/>
                </w:tcPr>
                <w:p w14:paraId="111D218E">
                  <w:pPr>
                    <w:spacing w:line="360" w:lineRule="auto"/>
                    <w:jc w:val="center"/>
                    <w:rPr>
                      <w:rFonts w:hint="eastAsia" w:ascii="Times New Roman" w:hAnsi="Times New Roman" w:eastAsia="宋体" w:cs="Times New Roman"/>
                      <w:b/>
                      <w:bCs/>
                      <w:szCs w:val="21"/>
                      <w:highlight w:val="none"/>
                      <w:lang w:eastAsia="zh-CN"/>
                    </w:rPr>
                  </w:pPr>
                  <w:r>
                    <w:rPr>
                      <w:rFonts w:hint="eastAsia" w:ascii="Times New Roman" w:hAnsi="Times New Roman" w:eastAsia="宋体" w:cs="Times New Roman"/>
                      <w:b/>
                      <w:bCs/>
                      <w:szCs w:val="21"/>
                      <w:highlight w:val="none"/>
                    </w:rPr>
                    <w:t>7</w:t>
                  </w:r>
                  <w:r>
                    <w:rPr>
                      <w:rFonts w:hint="eastAsia" w:ascii="Times New Roman" w:hAnsi="Times New Roman" w:eastAsia="宋体" w:cs="Times New Roman"/>
                      <w:b/>
                      <w:bCs/>
                      <w:szCs w:val="21"/>
                      <w:highlight w:val="none"/>
                      <w:lang w:val="en-US" w:eastAsia="zh-CN"/>
                    </w:rPr>
                    <w:t>0</w:t>
                  </w:r>
                </w:p>
              </w:tc>
              <w:tc>
                <w:tcPr>
                  <w:tcW w:w="582" w:type="pct"/>
                  <w:tcBorders>
                    <w:tl2br w:val="nil"/>
                    <w:tr2bl w:val="nil"/>
                  </w:tcBorders>
                  <w:vAlign w:val="center"/>
                </w:tcPr>
                <w:p w14:paraId="1200135E">
                  <w:pPr>
                    <w:spacing w:line="360" w:lineRule="auto"/>
                    <w:jc w:val="center"/>
                    <w:rPr>
                      <w:rFonts w:hint="default" w:ascii="Times New Roman" w:hAnsi="Times New Roman" w:eastAsia="宋体" w:cs="Times New Roman"/>
                      <w:b/>
                      <w:bCs/>
                      <w:szCs w:val="21"/>
                      <w:highlight w:val="none"/>
                      <w:lang w:val="en-US" w:eastAsia="zh-CN"/>
                    </w:rPr>
                  </w:pPr>
                  <w:r>
                    <w:rPr>
                      <w:rFonts w:hint="eastAsia" w:ascii="Times New Roman" w:hAnsi="Times New Roman" w:eastAsia="宋体" w:cs="Times New Roman"/>
                      <w:b/>
                      <w:bCs/>
                      <w:szCs w:val="21"/>
                      <w:highlight w:val="none"/>
                      <w:lang w:val="en-US" w:eastAsia="zh-CN"/>
                    </w:rPr>
                    <w:t>55</w:t>
                  </w:r>
                </w:p>
              </w:tc>
              <w:tc>
                <w:tcPr>
                  <w:tcW w:w="772" w:type="pct"/>
                  <w:tcBorders>
                    <w:tl2br w:val="nil"/>
                    <w:tr2bl w:val="nil"/>
                  </w:tcBorders>
                  <w:vAlign w:val="center"/>
                </w:tcPr>
                <w:p w14:paraId="24192ADB">
                  <w:pPr>
                    <w:spacing w:line="360" w:lineRule="auto"/>
                    <w:jc w:val="center"/>
                    <w:rPr>
                      <w:rFonts w:ascii="Times New Roman" w:hAnsi="Times New Roman" w:eastAsia="宋体" w:cs="Times New Roman"/>
                      <w:b/>
                      <w:bCs/>
                      <w:szCs w:val="21"/>
                      <w:highlight w:val="none"/>
                    </w:rPr>
                  </w:pPr>
                  <w:r>
                    <w:rPr>
                      <w:rFonts w:hint="eastAsia" w:ascii="Times New Roman" w:hAnsi="Times New Roman" w:eastAsia="宋体" w:cs="Times New Roman"/>
                      <w:b/>
                      <w:bCs/>
                      <w:szCs w:val="21"/>
                      <w:highlight w:val="none"/>
                    </w:rPr>
                    <w:t>/</w:t>
                  </w:r>
                </w:p>
              </w:tc>
            </w:tr>
          </w:tbl>
          <w:p w14:paraId="7F29B7F2">
            <w:pPr>
              <w:spacing w:line="360" w:lineRule="auto"/>
              <w:ind w:firstLine="480" w:firstLineChars="200"/>
              <w:rPr>
                <w:rFonts w:ascii="Times New Roman" w:hAnsi="Times New Roman" w:cs="Times New Roman"/>
                <w:sz w:val="24"/>
                <w:szCs w:val="24"/>
                <w:highlight w:val="yellow"/>
              </w:rPr>
            </w:pPr>
            <w:r>
              <w:rPr>
                <w:rFonts w:hint="eastAsia" w:ascii="Times New Roman" w:hAnsi="Times New Roman" w:eastAsia="宋体" w:cs="Times New Roman"/>
                <w:sz w:val="24"/>
                <w:szCs w:val="24"/>
                <w:highlight w:val="none"/>
                <w:lang w:bidi="ar"/>
              </w:rPr>
              <w:t>由监测结果可知，项目东侧厂界昼间、夜间噪声监测结果均低于</w:t>
            </w:r>
            <w:r>
              <w:rPr>
                <w:rFonts w:ascii="Times New Roman" w:hAnsi="Times New Roman" w:eastAsia="宋体" w:cs="Times New Roman"/>
                <w:sz w:val="24"/>
                <w:szCs w:val="24"/>
                <w:highlight w:val="none"/>
                <w:lang w:bidi="ar"/>
              </w:rPr>
              <w:t>GB12348-2008</w:t>
            </w:r>
            <w:r>
              <w:rPr>
                <w:rFonts w:hint="eastAsia" w:ascii="Times New Roman" w:hAnsi="Times New Roman" w:eastAsia="宋体" w:cs="Times New Roman"/>
                <w:sz w:val="24"/>
                <w:szCs w:val="24"/>
                <w:highlight w:val="none"/>
                <w:lang w:bidi="ar"/>
              </w:rPr>
              <w:t>《工业企业厂界环境噪声排放标准》中3类昼间、夜间标准限值；南侧、西侧、北侧昼间、夜间噪声监测结果均低于</w:t>
            </w:r>
            <w:r>
              <w:rPr>
                <w:rFonts w:ascii="Times New Roman" w:hAnsi="Times New Roman" w:eastAsia="宋体" w:cs="Times New Roman"/>
                <w:sz w:val="24"/>
                <w:szCs w:val="24"/>
                <w:highlight w:val="none"/>
                <w:lang w:bidi="ar"/>
              </w:rPr>
              <w:t>GB12348-2008</w:t>
            </w:r>
            <w:r>
              <w:rPr>
                <w:rFonts w:hint="eastAsia" w:ascii="Times New Roman" w:hAnsi="Times New Roman" w:eastAsia="宋体" w:cs="Times New Roman"/>
                <w:sz w:val="24"/>
                <w:szCs w:val="24"/>
                <w:highlight w:val="none"/>
                <w:lang w:bidi="ar"/>
              </w:rPr>
              <w:t>《工业企业厂界环境噪声排放标准》中4类昼间、夜间标准限值。</w:t>
            </w:r>
          </w:p>
        </w:tc>
      </w:tr>
    </w:tbl>
    <w:p w14:paraId="2A63A476">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15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46C11AEA">
            <w:pPr>
              <w:spacing w:line="360" w:lineRule="auto"/>
              <w:rPr>
                <w:rFonts w:hint="eastAsia" w:ascii="Times New Roman" w:hAnsi="Times New Roman" w:eastAsia="宋体" w:cs="Times New Roman"/>
                <w:sz w:val="24"/>
                <w:szCs w:val="24"/>
                <w:highlight w:val="none"/>
                <w:lang w:bidi="ar"/>
              </w:rPr>
            </w:pPr>
            <w:r>
              <w:rPr>
                <w:rFonts w:hint="eastAsia" w:ascii="Times New Roman" w:hAnsi="Times New Roman" w:eastAsia="宋体" w:cs="Times New Roman"/>
                <w:sz w:val="24"/>
                <w:szCs w:val="24"/>
                <w:highlight w:val="none"/>
                <w:lang w:val="en-US" w:eastAsia="zh-CN" w:bidi="ar"/>
              </w:rPr>
              <w:t>2</w:t>
            </w:r>
            <w:r>
              <w:rPr>
                <w:rFonts w:hint="eastAsia" w:ascii="Times New Roman" w:hAnsi="Times New Roman" w:eastAsia="宋体" w:cs="Times New Roman"/>
                <w:sz w:val="24"/>
                <w:szCs w:val="24"/>
                <w:highlight w:val="none"/>
                <w:lang w:bidi="ar"/>
              </w:rPr>
              <w:t>．污染物排放总量核算</w:t>
            </w:r>
          </w:p>
          <w:p w14:paraId="641D73C8">
            <w:pPr>
              <w:spacing w:line="360" w:lineRule="auto"/>
              <w:ind w:firstLine="480" w:firstLineChars="200"/>
              <w:rPr>
                <w:rFonts w:hint="default" w:ascii="Times New Roman" w:hAnsi="Times New Roman" w:eastAsia="宋体" w:cs="Times New Roman"/>
                <w:sz w:val="24"/>
                <w:szCs w:val="24"/>
                <w:highlight w:val="none"/>
                <w:lang w:val="en-US" w:eastAsia="zh-CN" w:bidi="ar"/>
              </w:rPr>
            </w:pPr>
            <w:r>
              <w:rPr>
                <w:rFonts w:hint="eastAsia" w:ascii="Times New Roman" w:hAnsi="Times New Roman" w:eastAsia="宋体" w:cs="Times New Roman"/>
                <w:sz w:val="24"/>
                <w:szCs w:val="24"/>
                <w:highlight w:val="none"/>
                <w:lang w:val="en-US" w:eastAsia="zh-CN" w:bidi="ar"/>
              </w:rPr>
              <w:t>本项目无废气、废水排放，不涉及总量因子。</w:t>
            </w:r>
          </w:p>
          <w:p w14:paraId="5D0419E4">
            <w:pPr>
              <w:spacing w:line="540" w:lineRule="exact"/>
              <w:ind w:firstLine="480" w:firstLineChars="200"/>
              <w:rPr>
                <w:rFonts w:ascii="Times New Roman" w:hAnsi="Times New Roman" w:eastAsia="宋体" w:cs="Times New Roman"/>
                <w:sz w:val="24"/>
                <w:highlight w:val="yellow"/>
              </w:rPr>
            </w:pPr>
          </w:p>
          <w:p w14:paraId="7EA37F37">
            <w:pPr>
              <w:pStyle w:val="5"/>
              <w:rPr>
                <w:rFonts w:ascii="Times New Roman" w:hAnsi="Times New Roman" w:eastAsia="宋体" w:cs="Times New Roman"/>
                <w:sz w:val="24"/>
                <w:highlight w:val="yellow"/>
              </w:rPr>
            </w:pPr>
          </w:p>
          <w:p w14:paraId="23466EEF">
            <w:pPr>
              <w:pStyle w:val="6"/>
              <w:rPr>
                <w:rFonts w:ascii="Times New Roman" w:hAnsi="Times New Roman" w:eastAsia="宋体" w:cs="Times New Roman"/>
                <w:sz w:val="24"/>
                <w:highlight w:val="yellow"/>
              </w:rPr>
            </w:pPr>
          </w:p>
          <w:p w14:paraId="46F593A3">
            <w:pPr>
              <w:rPr>
                <w:rFonts w:ascii="Times New Roman" w:hAnsi="Times New Roman" w:eastAsia="宋体" w:cs="Times New Roman"/>
                <w:sz w:val="24"/>
                <w:highlight w:val="yellow"/>
              </w:rPr>
            </w:pPr>
          </w:p>
          <w:p w14:paraId="7813D169">
            <w:pPr>
              <w:pStyle w:val="5"/>
              <w:rPr>
                <w:rFonts w:ascii="Times New Roman" w:hAnsi="Times New Roman" w:eastAsia="宋体" w:cs="Times New Roman"/>
                <w:sz w:val="24"/>
                <w:highlight w:val="yellow"/>
              </w:rPr>
            </w:pPr>
          </w:p>
          <w:p w14:paraId="78A0E24E">
            <w:pPr>
              <w:pStyle w:val="6"/>
              <w:rPr>
                <w:rFonts w:ascii="Times New Roman" w:hAnsi="Times New Roman" w:eastAsia="宋体" w:cs="Times New Roman"/>
                <w:sz w:val="24"/>
                <w:highlight w:val="yellow"/>
              </w:rPr>
            </w:pPr>
          </w:p>
          <w:p w14:paraId="4EB3E6A5">
            <w:pPr>
              <w:rPr>
                <w:rFonts w:ascii="Times New Roman" w:hAnsi="Times New Roman" w:eastAsia="宋体" w:cs="Times New Roman"/>
                <w:sz w:val="24"/>
                <w:highlight w:val="yellow"/>
              </w:rPr>
            </w:pPr>
          </w:p>
          <w:p w14:paraId="69737A9E">
            <w:pPr>
              <w:pStyle w:val="5"/>
              <w:rPr>
                <w:rFonts w:ascii="Times New Roman" w:hAnsi="Times New Roman" w:eastAsia="宋体" w:cs="Times New Roman"/>
                <w:sz w:val="24"/>
                <w:highlight w:val="yellow"/>
              </w:rPr>
            </w:pPr>
          </w:p>
          <w:p w14:paraId="1BE42D9E">
            <w:pPr>
              <w:pStyle w:val="6"/>
              <w:rPr>
                <w:rFonts w:ascii="Times New Roman" w:hAnsi="Times New Roman" w:eastAsia="宋体" w:cs="Times New Roman"/>
                <w:sz w:val="24"/>
                <w:highlight w:val="yellow"/>
              </w:rPr>
            </w:pPr>
          </w:p>
          <w:p w14:paraId="13E9C531">
            <w:pPr>
              <w:rPr>
                <w:rFonts w:ascii="Times New Roman" w:hAnsi="Times New Roman" w:eastAsia="宋体" w:cs="Times New Roman"/>
                <w:sz w:val="24"/>
                <w:highlight w:val="yellow"/>
              </w:rPr>
            </w:pPr>
          </w:p>
          <w:p w14:paraId="656F691A">
            <w:pPr>
              <w:pStyle w:val="5"/>
              <w:rPr>
                <w:rFonts w:ascii="Times New Roman" w:hAnsi="Times New Roman" w:eastAsia="宋体" w:cs="Times New Roman"/>
                <w:sz w:val="24"/>
                <w:highlight w:val="yellow"/>
              </w:rPr>
            </w:pPr>
          </w:p>
          <w:p w14:paraId="39358594">
            <w:pPr>
              <w:pStyle w:val="6"/>
              <w:rPr>
                <w:rFonts w:ascii="Times New Roman" w:hAnsi="Times New Roman" w:eastAsia="宋体" w:cs="Times New Roman"/>
                <w:sz w:val="24"/>
                <w:highlight w:val="yellow"/>
              </w:rPr>
            </w:pPr>
          </w:p>
          <w:p w14:paraId="09A85EC4">
            <w:pPr>
              <w:rPr>
                <w:rFonts w:ascii="Times New Roman" w:hAnsi="Times New Roman" w:eastAsia="宋体" w:cs="Times New Roman"/>
                <w:sz w:val="24"/>
                <w:highlight w:val="yellow"/>
              </w:rPr>
            </w:pPr>
          </w:p>
          <w:p w14:paraId="05D02877">
            <w:pPr>
              <w:pStyle w:val="5"/>
              <w:rPr>
                <w:rFonts w:ascii="Times New Roman" w:hAnsi="Times New Roman" w:eastAsia="宋体" w:cs="Times New Roman"/>
                <w:sz w:val="24"/>
                <w:highlight w:val="yellow"/>
              </w:rPr>
            </w:pPr>
          </w:p>
          <w:p w14:paraId="742E5CDA">
            <w:pPr>
              <w:pStyle w:val="6"/>
              <w:rPr>
                <w:rFonts w:ascii="Times New Roman" w:hAnsi="Times New Roman" w:eastAsia="宋体" w:cs="Times New Roman"/>
                <w:sz w:val="24"/>
                <w:highlight w:val="yellow"/>
              </w:rPr>
            </w:pPr>
          </w:p>
          <w:p w14:paraId="4956DFAF">
            <w:pPr>
              <w:rPr>
                <w:rFonts w:ascii="Times New Roman" w:hAnsi="Times New Roman" w:eastAsia="宋体" w:cs="Times New Roman"/>
                <w:sz w:val="24"/>
                <w:highlight w:val="yellow"/>
              </w:rPr>
            </w:pPr>
          </w:p>
          <w:p w14:paraId="491CE6E3">
            <w:pPr>
              <w:pStyle w:val="5"/>
              <w:rPr>
                <w:rFonts w:ascii="Times New Roman" w:hAnsi="Times New Roman" w:eastAsia="宋体" w:cs="Times New Roman"/>
                <w:sz w:val="24"/>
                <w:highlight w:val="yellow"/>
              </w:rPr>
            </w:pPr>
          </w:p>
          <w:p w14:paraId="2D296556">
            <w:pPr>
              <w:pStyle w:val="6"/>
              <w:rPr>
                <w:rFonts w:ascii="Times New Roman" w:hAnsi="Times New Roman" w:eastAsia="宋体" w:cs="Times New Roman"/>
                <w:sz w:val="24"/>
                <w:highlight w:val="yellow"/>
              </w:rPr>
            </w:pPr>
          </w:p>
          <w:p w14:paraId="7ADC700D">
            <w:pPr>
              <w:rPr>
                <w:rFonts w:ascii="Times New Roman" w:hAnsi="Times New Roman" w:eastAsia="宋体" w:cs="Times New Roman"/>
                <w:sz w:val="24"/>
                <w:highlight w:val="yellow"/>
              </w:rPr>
            </w:pPr>
          </w:p>
          <w:p w14:paraId="536272E1">
            <w:pPr>
              <w:pStyle w:val="5"/>
              <w:rPr>
                <w:rFonts w:ascii="Times New Roman" w:hAnsi="Times New Roman" w:eastAsia="宋体" w:cs="Times New Roman"/>
                <w:sz w:val="24"/>
                <w:highlight w:val="yellow"/>
              </w:rPr>
            </w:pPr>
          </w:p>
          <w:p w14:paraId="7D5981DB">
            <w:pPr>
              <w:pStyle w:val="6"/>
              <w:rPr>
                <w:rFonts w:ascii="Times New Roman" w:hAnsi="Times New Roman" w:eastAsia="宋体" w:cs="Times New Roman"/>
                <w:sz w:val="24"/>
                <w:highlight w:val="yellow"/>
              </w:rPr>
            </w:pPr>
          </w:p>
          <w:p w14:paraId="141A9318">
            <w:pPr>
              <w:rPr>
                <w:rFonts w:ascii="Times New Roman" w:hAnsi="Times New Roman" w:eastAsia="宋体" w:cs="Times New Roman"/>
                <w:sz w:val="24"/>
                <w:highlight w:val="yellow"/>
              </w:rPr>
            </w:pPr>
          </w:p>
          <w:p w14:paraId="1458A367">
            <w:pPr>
              <w:pStyle w:val="5"/>
              <w:rPr>
                <w:rFonts w:ascii="Times New Roman" w:hAnsi="Times New Roman" w:eastAsia="宋体" w:cs="Times New Roman"/>
                <w:sz w:val="24"/>
                <w:highlight w:val="yellow"/>
              </w:rPr>
            </w:pPr>
          </w:p>
          <w:p w14:paraId="661173BB">
            <w:pPr>
              <w:pStyle w:val="6"/>
              <w:rPr>
                <w:rFonts w:ascii="Times New Roman" w:hAnsi="Times New Roman" w:eastAsia="宋体" w:cs="Times New Roman"/>
                <w:sz w:val="24"/>
                <w:highlight w:val="yellow"/>
              </w:rPr>
            </w:pPr>
          </w:p>
          <w:p w14:paraId="060F6614">
            <w:pPr>
              <w:rPr>
                <w:rFonts w:ascii="Times New Roman" w:hAnsi="Times New Roman" w:eastAsia="宋体" w:cs="Times New Roman"/>
                <w:sz w:val="24"/>
                <w:highlight w:val="yellow"/>
              </w:rPr>
            </w:pPr>
          </w:p>
          <w:p w14:paraId="04B86A63">
            <w:pPr>
              <w:pStyle w:val="5"/>
              <w:rPr>
                <w:rFonts w:ascii="Times New Roman" w:hAnsi="Times New Roman" w:eastAsia="宋体" w:cs="Times New Roman"/>
                <w:sz w:val="24"/>
                <w:highlight w:val="yellow"/>
              </w:rPr>
            </w:pPr>
          </w:p>
          <w:p w14:paraId="20C2518F">
            <w:pPr>
              <w:pStyle w:val="6"/>
              <w:rPr>
                <w:rFonts w:ascii="Times New Roman" w:hAnsi="Times New Roman" w:eastAsia="宋体" w:cs="Times New Roman"/>
                <w:sz w:val="24"/>
                <w:highlight w:val="yellow"/>
              </w:rPr>
            </w:pPr>
          </w:p>
          <w:p w14:paraId="0E4AB534">
            <w:pPr>
              <w:rPr>
                <w:rFonts w:ascii="Times New Roman" w:hAnsi="Times New Roman" w:eastAsia="宋体" w:cs="Times New Roman"/>
                <w:sz w:val="24"/>
                <w:highlight w:val="yellow"/>
              </w:rPr>
            </w:pPr>
          </w:p>
          <w:p w14:paraId="128C0103">
            <w:pPr>
              <w:pStyle w:val="5"/>
              <w:rPr>
                <w:rFonts w:ascii="Times New Roman" w:hAnsi="Times New Roman" w:eastAsia="宋体" w:cs="Times New Roman"/>
                <w:sz w:val="24"/>
                <w:highlight w:val="yellow"/>
              </w:rPr>
            </w:pPr>
          </w:p>
          <w:p w14:paraId="6480BE08">
            <w:pPr>
              <w:pStyle w:val="6"/>
              <w:rPr>
                <w:rFonts w:ascii="Times New Roman" w:hAnsi="Times New Roman" w:eastAsia="宋体" w:cs="Times New Roman"/>
                <w:sz w:val="24"/>
                <w:highlight w:val="yellow"/>
              </w:rPr>
            </w:pPr>
          </w:p>
          <w:p w14:paraId="50F94B1B">
            <w:pPr>
              <w:rPr>
                <w:rFonts w:ascii="Times New Roman" w:hAnsi="Times New Roman" w:eastAsia="宋体" w:cs="Times New Roman"/>
                <w:sz w:val="24"/>
                <w:highlight w:val="yellow"/>
              </w:rPr>
            </w:pPr>
          </w:p>
          <w:p w14:paraId="51E1F884">
            <w:pPr>
              <w:pStyle w:val="5"/>
            </w:pPr>
          </w:p>
        </w:tc>
      </w:tr>
    </w:tbl>
    <w:p w14:paraId="6A65A70F">
      <w:pPr>
        <w:spacing w:line="276" w:lineRule="auto"/>
        <w:jc w:val="left"/>
        <w:outlineLvl w:val="0"/>
        <w:rPr>
          <w:rFonts w:ascii="Times New Roman" w:hAnsi="Times New Roman" w:cs="Times New Roman"/>
          <w:sz w:val="28"/>
          <w:szCs w:val="28"/>
          <w:highlight w:val="yellow"/>
        </w:rPr>
        <w:sectPr>
          <w:pgSz w:w="11906" w:h="16838"/>
          <w:pgMar w:top="1440" w:right="1800" w:bottom="1440" w:left="1800" w:header="851" w:footer="992" w:gutter="0"/>
          <w:cols w:space="425" w:num="1"/>
          <w:docGrid w:type="lines" w:linePitch="312" w:charSpace="0"/>
        </w:sectPr>
      </w:pPr>
    </w:p>
    <w:p w14:paraId="7617AF07">
      <w:pPr>
        <w:spacing w:line="276" w:lineRule="auto"/>
        <w:jc w:val="left"/>
        <w:outlineLvl w:val="0"/>
        <w:rPr>
          <w:rFonts w:ascii="Times New Roman" w:hAnsi="Times New Roman" w:cs="Times New Roman"/>
          <w:sz w:val="28"/>
          <w:szCs w:val="28"/>
          <w:highlight w:val="none"/>
        </w:rPr>
      </w:pPr>
      <w:bookmarkStart w:id="48" w:name="_Toc112582559"/>
      <w:r>
        <w:rPr>
          <w:rFonts w:ascii="Times New Roman" w:hAnsi="Times New Roman" w:cs="Times New Roman"/>
          <w:sz w:val="28"/>
          <w:szCs w:val="28"/>
          <w:highlight w:val="none"/>
        </w:rPr>
        <w:t>表八</w:t>
      </w:r>
      <w:bookmarkEnd w:id="48"/>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01C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70C6DAA">
            <w:pPr>
              <w:spacing w:line="276" w:lineRule="auto"/>
              <w:jc w:val="left"/>
              <w:outlineLvl w:val="0"/>
              <w:rPr>
                <w:rFonts w:ascii="Times New Roman" w:hAnsi="Times New Roman" w:cs="Times New Roman"/>
                <w:sz w:val="28"/>
                <w:szCs w:val="28"/>
                <w:highlight w:val="none"/>
              </w:rPr>
            </w:pPr>
            <w:bookmarkStart w:id="49" w:name="_Toc112582560"/>
            <w:r>
              <w:rPr>
                <w:rFonts w:ascii="Times New Roman" w:hAnsi="Times New Roman" w:cs="Times New Roman"/>
                <w:sz w:val="28"/>
                <w:szCs w:val="28"/>
                <w:highlight w:val="none"/>
              </w:rPr>
              <w:t>验收监测结论：</w:t>
            </w:r>
            <w:bookmarkEnd w:id="49"/>
          </w:p>
          <w:p w14:paraId="171A717F">
            <w:pPr>
              <w:spacing w:line="360" w:lineRule="auto"/>
              <w:ind w:firstLine="480" w:firstLineChars="200"/>
              <w:rPr>
                <w:rFonts w:hint="eastAsia" w:ascii="Times New Roman" w:hAnsi="Times New Roman" w:cs="Times New Roman"/>
                <w:sz w:val="24"/>
                <w:highlight w:val="yellow"/>
                <w:lang w:val="en-US" w:eastAsia="zh-CN"/>
              </w:rPr>
            </w:pPr>
            <w:r>
              <w:rPr>
                <w:rFonts w:hint="default" w:ascii="Times New Roman" w:hAnsi="Times New Roman" w:cs="Times New Roman"/>
                <w:color w:val="000000" w:themeColor="text1"/>
                <w:sz w:val="24"/>
                <w:highlight w:val="none"/>
                <w14:textFill>
                  <w14:solidFill>
                    <w14:schemeClr w14:val="tx1"/>
                  </w14:solidFill>
                </w14:textFill>
              </w:rPr>
              <w:t>新建 1 座</w:t>
            </w:r>
            <w:r>
              <w:rPr>
                <w:rFonts w:hint="eastAsia" w:ascii="Times New Roman" w:hAnsi="Times New Roman" w:cs="Times New Roman"/>
                <w:color w:val="000000" w:themeColor="text1"/>
                <w:sz w:val="24"/>
                <w:highlight w:val="none"/>
                <w14:textFill>
                  <w14:solidFill>
                    <w14:schemeClr w14:val="tx1"/>
                  </w14:solidFill>
                </w14:textFill>
              </w:rPr>
              <w:t>甲类</w:t>
            </w:r>
            <w:r>
              <w:rPr>
                <w:rFonts w:hint="default" w:ascii="Times New Roman" w:hAnsi="Times New Roman" w:cs="Times New Roman"/>
                <w:color w:val="000000" w:themeColor="text1"/>
                <w:sz w:val="24"/>
                <w:highlight w:val="none"/>
                <w14:textFill>
                  <w14:solidFill>
                    <w14:schemeClr w14:val="tx1"/>
                  </w14:solidFill>
                </w14:textFill>
              </w:rPr>
              <w:t>化学品库房（原料库，</w:t>
            </w:r>
            <w:r>
              <w:rPr>
                <w:rFonts w:hint="eastAsia" w:ascii="Times New Roman" w:hAnsi="Times New Roman" w:cs="Times New Roman"/>
                <w:color w:val="000000" w:themeColor="text1"/>
                <w:sz w:val="24"/>
                <w:highlight w:val="none"/>
                <w14:textFill>
                  <w14:solidFill>
                    <w14:schemeClr w14:val="tx1"/>
                  </w14:solidFill>
                </w14:textFill>
              </w:rPr>
              <w:t>W2-</w:t>
            </w:r>
            <w:r>
              <w:rPr>
                <w:rFonts w:hint="default" w:ascii="Times New Roman" w:hAnsi="Times New Roman" w:cs="Times New Roman"/>
                <w:color w:val="000000" w:themeColor="text1"/>
                <w:sz w:val="24"/>
                <w:highlight w:val="none"/>
                <w14:textFill>
                  <w14:solidFill>
                    <w14:schemeClr w14:val="tx1"/>
                  </w14:solidFill>
                </w14:textFill>
              </w:rPr>
              <w:t>仓库2），单层，为甲类仓库，库房长度为 26.7m，宽度为11.2m，高度为 9.515m，混凝土框架结构，耐火等级为一级</w:t>
            </w:r>
            <w:r>
              <w:rPr>
                <w:rFonts w:hint="eastAsia" w:ascii="Times New Roman" w:hAnsi="Times New Roman" w:cs="Times New Roman"/>
                <w:sz w:val="24"/>
                <w:highlight w:val="none"/>
                <w:lang w:eastAsia="zh-CN"/>
              </w:rPr>
              <w:t>。</w:t>
            </w:r>
          </w:p>
          <w:p w14:paraId="1AB01E96">
            <w:pPr>
              <w:adjustRightInd w:val="0"/>
              <w:snapToGrid w:val="0"/>
              <w:spacing w:line="360" w:lineRule="auto"/>
              <w:ind w:firstLine="480" w:firstLineChars="200"/>
              <w:rPr>
                <w:rFonts w:hint="default" w:ascii="Times New Roman" w:hAnsi="Times New Roman" w:cs="Times New Roman" w:eastAsiaTheme="minorEastAsia"/>
                <w:color w:val="000000" w:themeColor="text1"/>
                <w:sz w:val="24"/>
                <w:highlight w:val="yellow"/>
                <w:lang w:val="en-US" w:eastAsia="zh-CN"/>
                <w14:textFill>
                  <w14:solidFill>
                    <w14:schemeClr w14:val="tx1"/>
                  </w14:solidFill>
                </w14:textFill>
              </w:rPr>
            </w:pPr>
            <w:r>
              <w:rPr>
                <w:rFonts w:hint="eastAsia" w:ascii="Times New Roman" w:hAnsi="Times New Roman" w:cs="Times New Roman"/>
                <w:sz w:val="24"/>
                <w:szCs w:val="24"/>
                <w:highlight w:val="none"/>
                <w:lang w:val="zh-CN"/>
              </w:rPr>
              <w:t>本</w:t>
            </w:r>
            <w:r>
              <w:rPr>
                <w:rFonts w:hint="eastAsia" w:ascii="Times New Roman" w:hAnsi="Times New Roman" w:cs="Times New Roman"/>
                <w:sz w:val="24"/>
                <w:szCs w:val="24"/>
                <w:highlight w:val="none"/>
              </w:rPr>
              <w:t>次验收主要实际建设内容为：</w:t>
            </w:r>
            <w:r>
              <w:rPr>
                <w:rFonts w:hint="default" w:ascii="Times New Roman" w:hAnsi="Times New Roman" w:cs="Times New Roman"/>
                <w:sz w:val="24"/>
              </w:rPr>
              <w:t>项目新建一座建筑面积299.04m</w:t>
            </w:r>
            <w:r>
              <w:rPr>
                <w:rFonts w:hint="default" w:ascii="Times New Roman" w:hAnsi="Times New Roman" w:cs="Times New Roman"/>
                <w:sz w:val="24"/>
                <w:vertAlign w:val="superscript"/>
              </w:rPr>
              <w:t>2</w:t>
            </w:r>
            <w:r>
              <w:rPr>
                <w:rFonts w:hint="default" w:ascii="Times New Roman" w:hAnsi="Times New Roman" w:cs="Times New Roman"/>
                <w:sz w:val="24"/>
              </w:rPr>
              <w:t>，计容面积598.08m</w:t>
            </w:r>
            <w:r>
              <w:rPr>
                <w:rFonts w:hint="default" w:ascii="Times New Roman" w:hAnsi="Times New Roman" w:cs="Times New Roman"/>
                <w:sz w:val="24"/>
                <w:vertAlign w:val="superscript"/>
              </w:rPr>
              <w:t>2</w:t>
            </w:r>
            <w:r>
              <w:rPr>
                <w:rFonts w:hint="default" w:ascii="Times New Roman" w:hAnsi="Times New Roman" w:cs="Times New Roman"/>
                <w:sz w:val="24"/>
              </w:rPr>
              <w:t xml:space="preserve"> 的单层</w:t>
            </w:r>
            <w:r>
              <w:rPr>
                <w:rFonts w:hint="default" w:ascii="Times New Roman" w:hAnsi="Times New Roman" w:cs="Times New Roman"/>
                <w:kern w:val="0"/>
                <w:sz w:val="24"/>
              </w:rPr>
              <w:t>甲类化学品库房（原料库，W2-仓库2</w:t>
            </w:r>
            <w:r>
              <w:rPr>
                <w:rFonts w:hint="default" w:ascii="Times New Roman" w:hAnsi="Times New Roman" w:cs="Times New Roman"/>
                <w:kern w:val="0"/>
                <w:sz w:val="24"/>
                <w:highlight w:val="none"/>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1F8BBC17">
            <w:pPr>
              <w:spacing w:line="360" w:lineRule="auto"/>
              <w:ind w:firstLine="480" w:firstLineChars="200"/>
              <w:rPr>
                <w:rFonts w:hint="eastAsia" w:ascii="Times New Roman" w:hAnsi="Times New Roman" w:cs="Times New Roman"/>
                <w:sz w:val="24"/>
                <w:szCs w:val="24"/>
                <w:highlight w:val="none"/>
              </w:rPr>
            </w:pPr>
            <w:r>
              <w:rPr>
                <w:rFonts w:hint="eastAsia" w:ascii="Times New Roman" w:hAnsi="Times New Roman" w:cs="Times New Roman"/>
                <w:sz w:val="24"/>
                <w:szCs w:val="24"/>
                <w:highlight w:val="none"/>
              </w:rPr>
              <w:t>与原环评内容和环评批文要求核对后可知，本项目实际建设内容原环评一致。对比《关于印发污染影响类建设项目重大变动清单（试行）的通知》（环办环评函[2020]688号），本项目无重大变更。性质、规模、地点、工艺、产能、原辅材料、环保措施均无重大变化，满足验收条件。根据国环规环评[2017]4号《建设项目竣工环境保护验收暂行办法》本项目不涉及第八条中的9种不得通过环保验收的情况。</w:t>
            </w:r>
          </w:p>
          <w:p w14:paraId="58B38673">
            <w:pPr>
              <w:spacing w:line="360" w:lineRule="auto"/>
              <w:rPr>
                <w:highlight w:val="none"/>
              </w:rPr>
            </w:pPr>
            <w:r>
              <w:rPr>
                <w:rFonts w:hint="eastAsia" w:ascii="Times New Roman" w:hAnsi="Times New Roman" w:cs="Times New Roman"/>
                <w:b/>
                <w:sz w:val="24"/>
                <w:szCs w:val="24"/>
                <w:highlight w:val="none"/>
                <w:lang w:val="en-US" w:eastAsia="zh-CN"/>
              </w:rPr>
              <w:t>1环保设施调试运行效果</w:t>
            </w:r>
          </w:p>
          <w:p w14:paraId="601A4699">
            <w:pPr>
              <w:spacing w:line="360" w:lineRule="auto"/>
              <w:rPr>
                <w:rFonts w:ascii="Times New Roman" w:hAnsi="Times New Roman" w:cs="Times New Roman"/>
                <w:b/>
                <w:sz w:val="24"/>
                <w:szCs w:val="24"/>
                <w:highlight w:val="none"/>
              </w:rPr>
            </w:pPr>
            <w:r>
              <w:rPr>
                <w:rFonts w:hint="eastAsia" w:ascii="Times New Roman" w:hAnsi="Times New Roman" w:cs="Times New Roman"/>
                <w:b/>
                <w:sz w:val="24"/>
                <w:szCs w:val="24"/>
                <w:highlight w:val="none"/>
                <w:lang w:val="en-US" w:eastAsia="zh-CN"/>
              </w:rPr>
              <w:t>1.1</w:t>
            </w:r>
            <w:r>
              <w:rPr>
                <w:rFonts w:ascii="Times New Roman" w:hAnsi="Times New Roman" w:cs="Times New Roman"/>
                <w:b/>
                <w:sz w:val="24"/>
                <w:szCs w:val="24"/>
                <w:highlight w:val="none"/>
              </w:rPr>
              <w:t>污染物排放监测结果：</w:t>
            </w:r>
          </w:p>
          <w:p w14:paraId="40463F8D">
            <w:pPr>
              <w:numPr>
                <w:ilvl w:val="0"/>
                <w:numId w:val="0"/>
              </w:numPr>
              <w:spacing w:line="360" w:lineRule="auto"/>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1.1.1</w:t>
            </w:r>
            <w:r>
              <w:rPr>
                <w:rFonts w:hint="eastAsia" w:ascii="Times New Roman" w:hAnsi="Times New Roman" w:cs="Times New Roman"/>
                <w:sz w:val="24"/>
                <w:szCs w:val="24"/>
                <w:highlight w:val="none"/>
              </w:rPr>
              <w:t>噪声</w:t>
            </w:r>
          </w:p>
          <w:p w14:paraId="046CBAB6">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szCs w:val="24"/>
                <w:highlight w:val="none"/>
              </w:rPr>
              <w:t>根据噪声验收监测数据可知，本</w:t>
            </w:r>
            <w:r>
              <w:rPr>
                <w:rFonts w:hint="eastAsia" w:ascii="Times New Roman" w:hAnsi="Times New Roman" w:eastAsia="宋体" w:cs="Times New Roman"/>
                <w:sz w:val="24"/>
                <w:szCs w:val="24"/>
                <w:highlight w:val="none"/>
                <w:lang w:bidi="ar"/>
              </w:rPr>
              <w:t>项目东侧厂界昼间、夜间噪声监测结果均低于</w:t>
            </w:r>
            <w:r>
              <w:rPr>
                <w:rFonts w:ascii="Times New Roman" w:hAnsi="Times New Roman" w:eastAsia="宋体" w:cs="Times New Roman"/>
                <w:sz w:val="24"/>
                <w:szCs w:val="24"/>
                <w:highlight w:val="none"/>
                <w:lang w:bidi="ar"/>
              </w:rPr>
              <w:t>GB12348-2008</w:t>
            </w:r>
            <w:r>
              <w:rPr>
                <w:rFonts w:hint="eastAsia" w:ascii="Times New Roman" w:hAnsi="Times New Roman" w:eastAsia="宋体" w:cs="Times New Roman"/>
                <w:sz w:val="24"/>
                <w:szCs w:val="24"/>
                <w:highlight w:val="none"/>
                <w:lang w:bidi="ar"/>
              </w:rPr>
              <w:t>《工业企业厂界环境噪声排放标准》中3类昼间、夜间标准限值；南侧、西侧、北侧昼间、夜间噪声监测结果均低于</w:t>
            </w:r>
            <w:r>
              <w:rPr>
                <w:rFonts w:ascii="Times New Roman" w:hAnsi="Times New Roman" w:eastAsia="宋体" w:cs="Times New Roman"/>
                <w:sz w:val="24"/>
                <w:szCs w:val="24"/>
                <w:highlight w:val="none"/>
                <w:lang w:bidi="ar"/>
              </w:rPr>
              <w:t>GB12348-2008</w:t>
            </w:r>
            <w:r>
              <w:rPr>
                <w:rFonts w:hint="eastAsia" w:ascii="Times New Roman" w:hAnsi="Times New Roman" w:eastAsia="宋体" w:cs="Times New Roman"/>
                <w:sz w:val="24"/>
                <w:szCs w:val="24"/>
                <w:highlight w:val="none"/>
                <w:lang w:bidi="ar"/>
              </w:rPr>
              <w:t>《工业企业厂界环境噪声排放标准》中4类昼间、夜间标准限值。</w:t>
            </w:r>
          </w:p>
          <w:p w14:paraId="658E7041">
            <w:pPr>
              <w:spacing w:line="360" w:lineRule="auto"/>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1.1.2</w:t>
            </w:r>
            <w:r>
              <w:rPr>
                <w:rFonts w:ascii="Times New Roman" w:hAnsi="Times New Roman" w:cs="Times New Roman"/>
                <w:sz w:val="24"/>
                <w:szCs w:val="24"/>
                <w:highlight w:val="none"/>
              </w:rPr>
              <w:t>排放口规范化</w:t>
            </w:r>
          </w:p>
          <w:p w14:paraId="22191D35">
            <w:pPr>
              <w:spacing w:line="360" w:lineRule="auto"/>
              <w:ind w:firstLine="480" w:firstLineChars="200"/>
              <w:outlineLvl w:val="0"/>
              <w:rPr>
                <w:rFonts w:ascii="Times New Roman" w:hAnsi="Times New Roman" w:cs="Times New Roman"/>
                <w:sz w:val="24"/>
                <w:szCs w:val="24"/>
                <w:highlight w:val="none"/>
              </w:rPr>
            </w:pPr>
            <w:bookmarkStart w:id="50" w:name="_Toc112582562"/>
            <w:r>
              <w:rPr>
                <w:rFonts w:hint="eastAsia" w:ascii="Times New Roman" w:hAnsi="Times New Roman" w:eastAsia="宋体" w:cs="Times New Roman"/>
                <w:sz w:val="24"/>
                <w:szCs w:val="24"/>
                <w:highlight w:val="none"/>
                <w:lang w:bidi="ar"/>
              </w:rPr>
              <w:t>本项目危废间按规范要求设置了标识牌。排放口均已按照市环保局《关于加强我市排放口规范化整治工作的通知》（津环保监理</w:t>
            </w:r>
            <w:r>
              <w:rPr>
                <w:rFonts w:ascii="Times New Roman" w:hAnsi="Times New Roman" w:eastAsia="宋体" w:cs="Times New Roman"/>
                <w:sz w:val="24"/>
                <w:szCs w:val="24"/>
                <w:highlight w:val="none"/>
                <w:lang w:bidi="ar"/>
              </w:rPr>
              <w:t>[2002]71</w:t>
            </w:r>
            <w:r>
              <w:rPr>
                <w:rFonts w:hint="eastAsia" w:ascii="Times New Roman" w:hAnsi="Times New Roman" w:eastAsia="宋体" w:cs="Times New Roman"/>
                <w:sz w:val="24"/>
                <w:szCs w:val="24"/>
                <w:highlight w:val="none"/>
                <w:lang w:bidi="ar"/>
              </w:rPr>
              <w:t>号、《关于发布</w:t>
            </w:r>
            <w:r>
              <w:rPr>
                <w:rFonts w:ascii="Times New Roman" w:hAnsi="Times New Roman" w:eastAsia="宋体" w:cs="Times New Roman"/>
                <w:sz w:val="24"/>
                <w:szCs w:val="24"/>
                <w:highlight w:val="none"/>
                <w:lang w:bidi="ar"/>
              </w:rPr>
              <w:t>&lt;</w:t>
            </w:r>
            <w:r>
              <w:rPr>
                <w:rFonts w:hint="eastAsia" w:ascii="Times New Roman" w:hAnsi="Times New Roman" w:eastAsia="宋体" w:cs="Times New Roman"/>
                <w:sz w:val="24"/>
                <w:szCs w:val="24"/>
                <w:highlight w:val="none"/>
                <w:lang w:bidi="ar"/>
              </w:rPr>
              <w:t>天津市污染源排放口规范化技术要求</w:t>
            </w:r>
            <w:r>
              <w:rPr>
                <w:rFonts w:ascii="Times New Roman" w:hAnsi="Times New Roman" w:eastAsia="宋体" w:cs="Times New Roman"/>
                <w:sz w:val="24"/>
                <w:szCs w:val="24"/>
                <w:highlight w:val="none"/>
                <w:lang w:bidi="ar"/>
              </w:rPr>
              <w:t>&gt;</w:t>
            </w:r>
            <w:r>
              <w:rPr>
                <w:rFonts w:hint="eastAsia" w:ascii="Times New Roman" w:hAnsi="Times New Roman" w:eastAsia="宋体" w:cs="Times New Roman"/>
                <w:sz w:val="24"/>
                <w:szCs w:val="24"/>
                <w:highlight w:val="none"/>
                <w:lang w:bidi="ar"/>
              </w:rPr>
              <w:t>的通知》（津环保监测</w:t>
            </w:r>
            <w:r>
              <w:rPr>
                <w:rFonts w:ascii="Times New Roman" w:hAnsi="Times New Roman" w:eastAsia="宋体" w:cs="Times New Roman"/>
                <w:sz w:val="24"/>
                <w:szCs w:val="24"/>
                <w:highlight w:val="none"/>
                <w:lang w:bidi="ar"/>
              </w:rPr>
              <w:t>[2007]57</w:t>
            </w:r>
            <w:r>
              <w:rPr>
                <w:rFonts w:hint="eastAsia" w:ascii="Times New Roman" w:hAnsi="Times New Roman" w:eastAsia="宋体" w:cs="Times New Roman"/>
                <w:sz w:val="24"/>
                <w:szCs w:val="24"/>
                <w:highlight w:val="none"/>
                <w:lang w:bidi="ar"/>
              </w:rPr>
              <w:t>号要求，进行了排放口规范化建设。</w:t>
            </w:r>
            <w:bookmarkEnd w:id="50"/>
          </w:p>
          <w:p w14:paraId="309EC61A">
            <w:pPr>
              <w:spacing w:line="360" w:lineRule="auto"/>
              <w:outlineLvl w:val="0"/>
              <w:rPr>
                <w:rFonts w:ascii="Times New Roman" w:hAnsi="Times New Roman" w:cs="Times New Roman"/>
                <w:sz w:val="24"/>
                <w:szCs w:val="24"/>
                <w:highlight w:val="none"/>
              </w:rPr>
            </w:pPr>
            <w:bookmarkStart w:id="51" w:name="_Toc112582563"/>
            <w:r>
              <w:rPr>
                <w:rFonts w:hint="eastAsia" w:ascii="Times New Roman" w:hAnsi="Times New Roman" w:cs="Times New Roman"/>
                <w:sz w:val="24"/>
                <w:szCs w:val="24"/>
                <w:highlight w:val="none"/>
                <w:lang w:val="en-US" w:eastAsia="zh-CN"/>
              </w:rPr>
              <w:t>1.1.3</w:t>
            </w:r>
            <w:r>
              <w:rPr>
                <w:rFonts w:ascii="Times New Roman" w:hAnsi="Times New Roman" w:cs="Times New Roman"/>
                <w:sz w:val="24"/>
                <w:szCs w:val="24"/>
                <w:highlight w:val="none"/>
              </w:rPr>
              <w:t>总量</w:t>
            </w:r>
            <w:bookmarkEnd w:id="51"/>
          </w:p>
          <w:p w14:paraId="6F0634FC">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本项目不涉及</w:t>
            </w:r>
            <w:r>
              <w:rPr>
                <w:rFonts w:ascii="Times New Roman" w:hAnsi="Times New Roman" w:cs="Times New Roman"/>
                <w:sz w:val="24"/>
                <w:szCs w:val="24"/>
                <w:highlight w:val="none"/>
              </w:rPr>
              <w:t>。</w:t>
            </w:r>
          </w:p>
          <w:p w14:paraId="25318CA5">
            <w:pPr>
              <w:spacing w:line="360" w:lineRule="auto"/>
              <w:rPr>
                <w:rFonts w:hint="default" w:ascii="Times New Roman" w:hAnsi="Times New Roman" w:cs="Times New Roman" w:eastAsiaTheme="minorEastAsia"/>
                <w:b/>
                <w:sz w:val="24"/>
                <w:szCs w:val="24"/>
                <w:highlight w:val="none"/>
                <w:lang w:val="en-US" w:eastAsia="zh-CN"/>
              </w:rPr>
            </w:pPr>
            <w:r>
              <w:rPr>
                <w:rFonts w:hint="eastAsia" w:ascii="Times New Roman" w:hAnsi="Times New Roman" w:cs="Times New Roman"/>
                <w:b/>
                <w:sz w:val="24"/>
                <w:szCs w:val="24"/>
                <w:highlight w:val="none"/>
                <w:lang w:val="en-US" w:eastAsia="zh-CN"/>
              </w:rPr>
              <w:t>1.2工程建设对环境的影响</w:t>
            </w:r>
          </w:p>
          <w:p w14:paraId="0A6F3F1A">
            <w:pPr>
              <w:spacing w:line="360" w:lineRule="auto"/>
              <w:ind w:firstLine="480" w:firstLineChars="200"/>
              <w:outlineLvl w:val="0"/>
              <w:rPr>
                <w:highlight w:val="none"/>
              </w:rPr>
            </w:pPr>
            <w:r>
              <w:rPr>
                <w:rFonts w:hint="eastAsia" w:ascii="Times New Roman" w:hAnsi="Times New Roman" w:cs="Times New Roman"/>
                <w:sz w:val="24"/>
                <w:szCs w:val="24"/>
                <w:highlight w:val="none"/>
                <w:lang w:val="en-US" w:eastAsia="zh-CN"/>
              </w:rPr>
              <w:t>根据检测结果，本项目噪声达标排放，不会对周边环境产生明显的不利影响。</w:t>
            </w:r>
          </w:p>
          <w:p w14:paraId="72EC64BA">
            <w:pPr>
              <w:spacing w:line="360" w:lineRule="auto"/>
              <w:rPr>
                <w:rFonts w:hint="eastAsia" w:ascii="Times New Roman" w:hAnsi="Times New Roman" w:cs="Times New Roman"/>
                <w:b/>
                <w:sz w:val="24"/>
                <w:szCs w:val="24"/>
                <w:highlight w:val="none"/>
                <w:lang w:val="en-US" w:eastAsia="zh-CN"/>
              </w:rPr>
            </w:pPr>
            <w:bookmarkStart w:id="52" w:name="_Toc112582564"/>
            <w:r>
              <w:rPr>
                <w:rFonts w:hint="eastAsia" w:ascii="Times New Roman" w:hAnsi="Times New Roman" w:cs="Times New Roman"/>
                <w:b/>
                <w:sz w:val="24"/>
                <w:szCs w:val="24"/>
                <w:highlight w:val="none"/>
                <w:lang w:val="en-US" w:eastAsia="zh-CN"/>
              </w:rPr>
              <w:t>1.3验收结论</w:t>
            </w:r>
            <w:bookmarkEnd w:id="52"/>
          </w:p>
          <w:p w14:paraId="0DFBFCB8">
            <w:pPr>
              <w:spacing w:line="360" w:lineRule="auto"/>
              <w:ind w:firstLine="480" w:firstLineChars="200"/>
              <w:outlineLvl w:val="0"/>
              <w:rPr>
                <w:rFonts w:ascii="Times New Roman" w:hAnsi="Times New Roman" w:cs="Times New Roman"/>
                <w:sz w:val="24"/>
                <w:szCs w:val="24"/>
                <w:highlight w:val="none"/>
              </w:rPr>
            </w:pPr>
            <w:bookmarkStart w:id="53" w:name="_Toc112582565"/>
            <w:r>
              <w:rPr>
                <w:rFonts w:hint="eastAsia" w:ascii="Times New Roman" w:hAnsi="Times New Roman" w:cs="Times New Roman"/>
                <w:sz w:val="24"/>
                <w:szCs w:val="24"/>
                <w:highlight w:val="none"/>
              </w:rPr>
              <w:t>本项目环境保护手续齐全，落实了环境影响报告表及环评批复文件提出的污染防治措施，根据验收监测结果可知均达标排放。本项目与《建设项目竣工环境保护验收暂行办法》的公告（国环规环评</w:t>
            </w:r>
            <w:r>
              <w:rPr>
                <w:rFonts w:ascii="Times New Roman" w:hAnsi="Times New Roman" w:cs="Times New Roman"/>
                <w:sz w:val="24"/>
                <w:szCs w:val="24"/>
                <w:highlight w:val="none"/>
              </w:rPr>
              <w:t>[2017]4</w:t>
            </w:r>
            <w:r>
              <w:rPr>
                <w:rFonts w:hint="eastAsia" w:ascii="Times New Roman" w:hAnsi="Times New Roman" w:cs="Times New Roman"/>
                <w:sz w:val="24"/>
                <w:szCs w:val="24"/>
                <w:highlight w:val="none"/>
              </w:rPr>
              <w:t>号）对比情况如下表所示。</w:t>
            </w:r>
          </w:p>
          <w:bookmarkEnd w:id="53"/>
          <w:p w14:paraId="64619A48">
            <w:pPr>
              <w:spacing w:line="360" w:lineRule="auto"/>
              <w:outlineLvl w:val="0"/>
              <w:rPr>
                <w:rFonts w:ascii="Times New Roman" w:hAnsi="Times New Roman" w:cs="Times New Roman"/>
                <w:sz w:val="24"/>
                <w:szCs w:val="24"/>
                <w:highlight w:val="none"/>
              </w:rPr>
            </w:pPr>
          </w:p>
          <w:p w14:paraId="0B9BAE33">
            <w:pPr>
              <w:spacing w:line="360" w:lineRule="auto"/>
              <w:outlineLvl w:val="0"/>
              <w:rPr>
                <w:rFonts w:ascii="Times New Roman" w:hAnsi="Times New Roman" w:cs="Times New Roman"/>
                <w:sz w:val="24"/>
                <w:szCs w:val="24"/>
                <w:highlight w:val="yellow"/>
              </w:rPr>
            </w:pPr>
          </w:p>
          <w:p w14:paraId="11639A0D">
            <w:pPr>
              <w:spacing w:line="360" w:lineRule="auto"/>
              <w:outlineLvl w:val="0"/>
              <w:rPr>
                <w:rFonts w:ascii="Times New Roman" w:hAnsi="Times New Roman" w:cs="Times New Roman"/>
                <w:sz w:val="24"/>
                <w:szCs w:val="24"/>
                <w:highlight w:val="yellow"/>
              </w:rPr>
            </w:pPr>
          </w:p>
          <w:p w14:paraId="496EB132">
            <w:pPr>
              <w:spacing w:line="360" w:lineRule="auto"/>
              <w:outlineLvl w:val="0"/>
              <w:rPr>
                <w:rFonts w:ascii="Times New Roman" w:hAnsi="Times New Roman" w:cs="Times New Roman"/>
                <w:sz w:val="24"/>
                <w:szCs w:val="24"/>
                <w:highlight w:val="yellow"/>
              </w:rPr>
            </w:pPr>
          </w:p>
          <w:p w14:paraId="6DB890BA">
            <w:pPr>
              <w:spacing w:line="360" w:lineRule="auto"/>
              <w:outlineLvl w:val="0"/>
              <w:rPr>
                <w:rFonts w:ascii="Times New Roman" w:hAnsi="Times New Roman" w:cs="Times New Roman"/>
                <w:sz w:val="24"/>
                <w:szCs w:val="24"/>
                <w:highlight w:val="yellow"/>
              </w:rPr>
            </w:pPr>
          </w:p>
          <w:p w14:paraId="328DE33B">
            <w:pPr>
              <w:spacing w:line="360" w:lineRule="auto"/>
              <w:outlineLvl w:val="0"/>
              <w:rPr>
                <w:rFonts w:ascii="Times New Roman" w:hAnsi="Times New Roman" w:cs="Times New Roman"/>
                <w:sz w:val="24"/>
                <w:szCs w:val="24"/>
                <w:highlight w:val="yellow"/>
              </w:rPr>
            </w:pPr>
          </w:p>
          <w:p w14:paraId="09F99CA6">
            <w:pPr>
              <w:spacing w:line="360" w:lineRule="auto"/>
              <w:outlineLvl w:val="0"/>
              <w:rPr>
                <w:rFonts w:ascii="Times New Roman" w:hAnsi="Times New Roman" w:cs="Times New Roman"/>
                <w:sz w:val="24"/>
                <w:szCs w:val="24"/>
                <w:highlight w:val="yellow"/>
              </w:rPr>
            </w:pPr>
          </w:p>
          <w:p w14:paraId="29B535EC">
            <w:pPr>
              <w:spacing w:line="360" w:lineRule="auto"/>
              <w:outlineLvl w:val="0"/>
              <w:rPr>
                <w:rFonts w:ascii="Times New Roman" w:hAnsi="Times New Roman" w:cs="Times New Roman"/>
                <w:sz w:val="24"/>
                <w:szCs w:val="24"/>
                <w:highlight w:val="yellow"/>
              </w:rPr>
            </w:pPr>
          </w:p>
          <w:p w14:paraId="26B6090A">
            <w:pPr>
              <w:spacing w:line="360" w:lineRule="auto"/>
              <w:outlineLvl w:val="0"/>
              <w:rPr>
                <w:rFonts w:ascii="Times New Roman" w:hAnsi="Times New Roman" w:cs="Times New Roman"/>
                <w:sz w:val="24"/>
                <w:szCs w:val="24"/>
                <w:highlight w:val="yellow"/>
              </w:rPr>
            </w:pPr>
          </w:p>
          <w:p w14:paraId="25835B6C">
            <w:pPr>
              <w:spacing w:line="360" w:lineRule="auto"/>
              <w:outlineLvl w:val="0"/>
              <w:rPr>
                <w:rFonts w:ascii="Times New Roman" w:hAnsi="Times New Roman" w:cs="Times New Roman"/>
                <w:sz w:val="24"/>
                <w:szCs w:val="24"/>
                <w:highlight w:val="yellow"/>
              </w:rPr>
            </w:pPr>
          </w:p>
          <w:p w14:paraId="5D1B2A06">
            <w:pPr>
              <w:spacing w:line="360" w:lineRule="auto"/>
              <w:outlineLvl w:val="0"/>
              <w:rPr>
                <w:rFonts w:ascii="Times New Roman" w:hAnsi="Times New Roman" w:cs="Times New Roman"/>
                <w:sz w:val="24"/>
                <w:szCs w:val="24"/>
                <w:highlight w:val="yellow"/>
              </w:rPr>
            </w:pPr>
          </w:p>
          <w:p w14:paraId="1A4CEC8C">
            <w:pPr>
              <w:spacing w:line="360" w:lineRule="auto"/>
              <w:outlineLvl w:val="0"/>
              <w:rPr>
                <w:rFonts w:ascii="Times New Roman" w:hAnsi="Times New Roman" w:cs="Times New Roman"/>
                <w:sz w:val="24"/>
                <w:szCs w:val="24"/>
                <w:highlight w:val="yellow"/>
              </w:rPr>
            </w:pPr>
          </w:p>
          <w:p w14:paraId="6F5AF303">
            <w:pPr>
              <w:spacing w:line="360" w:lineRule="auto"/>
              <w:outlineLvl w:val="0"/>
              <w:rPr>
                <w:rFonts w:ascii="Times New Roman" w:hAnsi="Times New Roman" w:cs="Times New Roman"/>
                <w:sz w:val="24"/>
                <w:szCs w:val="24"/>
                <w:highlight w:val="yellow"/>
              </w:rPr>
            </w:pPr>
          </w:p>
          <w:p w14:paraId="692D54BD">
            <w:pPr>
              <w:spacing w:line="360" w:lineRule="auto"/>
              <w:outlineLvl w:val="0"/>
              <w:rPr>
                <w:rFonts w:ascii="Times New Roman" w:hAnsi="Times New Roman" w:cs="Times New Roman"/>
                <w:sz w:val="24"/>
                <w:szCs w:val="24"/>
                <w:highlight w:val="yellow"/>
              </w:rPr>
            </w:pPr>
          </w:p>
          <w:p w14:paraId="758AAE6B">
            <w:pPr>
              <w:spacing w:line="360" w:lineRule="auto"/>
              <w:outlineLvl w:val="0"/>
              <w:rPr>
                <w:rFonts w:ascii="Times New Roman" w:hAnsi="Times New Roman" w:cs="Times New Roman"/>
                <w:sz w:val="24"/>
                <w:szCs w:val="24"/>
                <w:highlight w:val="yellow"/>
              </w:rPr>
            </w:pPr>
          </w:p>
          <w:p w14:paraId="7901C6E8">
            <w:pPr>
              <w:spacing w:line="360" w:lineRule="auto"/>
              <w:outlineLvl w:val="0"/>
              <w:rPr>
                <w:rFonts w:ascii="Times New Roman" w:hAnsi="Times New Roman" w:cs="Times New Roman"/>
                <w:sz w:val="24"/>
                <w:szCs w:val="24"/>
                <w:highlight w:val="yellow"/>
              </w:rPr>
            </w:pPr>
          </w:p>
          <w:p w14:paraId="575B6405">
            <w:pPr>
              <w:spacing w:line="360" w:lineRule="auto"/>
              <w:outlineLvl w:val="0"/>
              <w:rPr>
                <w:rFonts w:ascii="Times New Roman" w:hAnsi="Times New Roman" w:cs="Times New Roman"/>
                <w:sz w:val="24"/>
                <w:szCs w:val="24"/>
                <w:highlight w:val="yellow"/>
              </w:rPr>
            </w:pPr>
          </w:p>
        </w:tc>
      </w:tr>
      <w:bookmarkEnd w:id="9"/>
      <w:bookmarkEnd w:id="10"/>
      <w:bookmarkEnd w:id="11"/>
      <w:bookmarkEnd w:id="12"/>
    </w:tbl>
    <w:p w14:paraId="66C95052">
      <w:pPr>
        <w:spacing w:line="360" w:lineRule="auto"/>
        <w:rPr>
          <w:rFonts w:ascii="Times New Roman" w:hAnsi="Times New Roman" w:cs="Times New Roman"/>
          <w:sz w:val="18"/>
          <w:szCs w:val="18"/>
          <w:highlight w:val="yellow"/>
        </w:rPr>
        <w:sectPr>
          <w:pgSz w:w="11906" w:h="16838"/>
          <w:pgMar w:top="1440" w:right="1800" w:bottom="1440" w:left="1800" w:header="851" w:footer="992" w:gutter="0"/>
          <w:cols w:space="425" w:num="1"/>
          <w:docGrid w:type="lines" w:linePitch="312" w:charSpace="0"/>
        </w:sectPr>
      </w:pPr>
    </w:p>
    <w:p w14:paraId="6D80F8C7">
      <w:pPr>
        <w:snapToGrid w:val="0"/>
        <w:ind w:firstLine="422" w:firstLineChars="200"/>
        <w:jc w:val="center"/>
        <w:rPr>
          <w:b/>
          <w:szCs w:val="21"/>
          <w:highlight w:val="none"/>
        </w:rPr>
      </w:pPr>
      <w:r>
        <w:rPr>
          <w:rFonts w:hint="eastAsia" w:ascii="Times New Roman" w:hAnsi="Times New Roman" w:eastAsia="宋体" w:cs="宋体"/>
          <w:b/>
          <w:szCs w:val="21"/>
          <w:highlight w:val="none"/>
        </w:rPr>
        <w:t>表</w:t>
      </w:r>
      <w:r>
        <w:rPr>
          <w:rFonts w:hint="eastAsia" w:ascii="Times New Roman" w:hAnsi="Times New Roman" w:eastAsia="宋体" w:cs="Times New Roman"/>
          <w:b/>
          <w:szCs w:val="21"/>
          <w:highlight w:val="none"/>
        </w:rPr>
        <w:t>8-1</w:t>
      </w:r>
      <w:r>
        <w:rPr>
          <w:rFonts w:ascii="Times New Roman" w:hAnsi="Times New Roman" w:eastAsia="宋体" w:cs="Times New Roman"/>
          <w:b/>
          <w:szCs w:val="21"/>
          <w:highlight w:val="none"/>
        </w:rPr>
        <w:t xml:space="preserve"> </w:t>
      </w:r>
      <w:r>
        <w:rPr>
          <w:rFonts w:hint="eastAsia" w:ascii="Times New Roman" w:hAnsi="Times New Roman" w:eastAsia="宋体" w:cs="宋体"/>
          <w:b/>
          <w:szCs w:val="21"/>
          <w:highlight w:val="none"/>
        </w:rPr>
        <w:t>本项目建设与相关文件要求对比情况表</w:t>
      </w:r>
    </w:p>
    <w:tbl>
      <w:tblPr>
        <w:tblStyle w:val="62"/>
        <w:tblW w:w="13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6678"/>
        <w:gridCol w:w="4580"/>
        <w:gridCol w:w="1151"/>
      </w:tblGrid>
      <w:tr w14:paraId="15FE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2402BB0E">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序号</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5AD412B4">
            <w:pPr>
              <w:snapToGrid w:val="0"/>
              <w:jc w:val="left"/>
              <w:rPr>
                <w:rFonts w:cs="Times New Roman"/>
                <w:kern w:val="0"/>
                <w:szCs w:val="21"/>
                <w:highlight w:val="none"/>
              </w:rPr>
            </w:pPr>
            <w:r>
              <w:rPr>
                <w:rFonts w:hint="eastAsia" w:ascii="Times New Roman" w:hAnsi="Times New Roman" w:eastAsia="宋体" w:cs="Times New Roman"/>
                <w:kern w:val="0"/>
                <w:szCs w:val="21"/>
                <w:highlight w:val="none"/>
              </w:rPr>
              <w:t>《建设项目竣工环境保护验收暂行办法》的公告（国环规环评</w:t>
            </w:r>
            <w:r>
              <w:rPr>
                <w:rFonts w:ascii="Times New Roman" w:hAnsi="Times New Roman" w:eastAsia="宋体" w:cs="Times New Roman"/>
                <w:kern w:val="0"/>
                <w:szCs w:val="21"/>
                <w:highlight w:val="none"/>
              </w:rPr>
              <w:t>[2017]4</w:t>
            </w:r>
            <w:r>
              <w:rPr>
                <w:rFonts w:hint="eastAsia" w:ascii="Times New Roman" w:hAnsi="Times New Roman" w:eastAsia="宋体" w:cs="Times New Roman"/>
                <w:kern w:val="0"/>
                <w:szCs w:val="21"/>
                <w:highlight w:val="none"/>
              </w:rPr>
              <w:t>号）中不得提出验收合格意见的情况</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6B1EDCE2">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本次验收内容建设情况</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2C3A612E">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对比结果</w:t>
            </w:r>
          </w:p>
        </w:tc>
      </w:tr>
      <w:tr w14:paraId="5437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392DB93E">
            <w:pPr>
              <w:snapToGrid w:val="0"/>
              <w:jc w:val="center"/>
              <w:rPr>
                <w:rFonts w:cs="Times New Roman"/>
                <w:kern w:val="0"/>
                <w:szCs w:val="21"/>
                <w:highlight w:val="none"/>
              </w:rPr>
            </w:pPr>
            <w:r>
              <w:rPr>
                <w:rFonts w:ascii="Times New Roman" w:hAnsi="Times New Roman" w:eastAsia="宋体" w:cs="Times New Roman"/>
                <w:kern w:val="0"/>
                <w:szCs w:val="21"/>
                <w:highlight w:val="none"/>
              </w:rPr>
              <w:t>1</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21BD8606">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未按环境影响报告书（表）及其审批部门审批决定要求建成环境保护设施，或者环境保护设施不能与主体工程同时投产或者使用的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49A755AA">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本项目已按照环境影响报告</w:t>
            </w:r>
            <w:r>
              <w:rPr>
                <w:rFonts w:hint="eastAsia" w:ascii="Times New Roman" w:hAnsi="Times New Roman" w:eastAsia="宋体" w:cs="Times New Roman"/>
                <w:kern w:val="0"/>
                <w:szCs w:val="21"/>
                <w:highlight w:val="none"/>
                <w:lang w:val="en-US" w:eastAsia="zh-CN"/>
              </w:rPr>
              <w:t>表</w:t>
            </w:r>
            <w:r>
              <w:rPr>
                <w:rFonts w:hint="eastAsia" w:ascii="Times New Roman" w:hAnsi="Times New Roman" w:eastAsia="宋体" w:cs="Times New Roman"/>
                <w:kern w:val="0"/>
                <w:szCs w:val="21"/>
                <w:highlight w:val="none"/>
              </w:rPr>
              <w:t>及其审批部门审批决定要求建成环境保护设施，并且环境保护设施与主体工程同时使用</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49EE7982">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40B2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238015E9">
            <w:pPr>
              <w:snapToGrid w:val="0"/>
              <w:jc w:val="center"/>
              <w:rPr>
                <w:rFonts w:cs="Times New Roman"/>
                <w:kern w:val="0"/>
                <w:szCs w:val="21"/>
                <w:highlight w:val="none"/>
              </w:rPr>
            </w:pPr>
            <w:r>
              <w:rPr>
                <w:rFonts w:ascii="Times New Roman" w:hAnsi="Times New Roman" w:eastAsia="宋体" w:cs="Times New Roman"/>
                <w:kern w:val="0"/>
                <w:szCs w:val="21"/>
                <w:highlight w:val="none"/>
              </w:rPr>
              <w:t>2</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3A7E0470">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污染物排放不符合国家和地方相关标准、环境影响报告书（表）及其审批部门审批决定或者重点污染物排放总量控制指标要求的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1EF649E5">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经监测，本项目污染物排放符合国家和地方相关标准、环境影响报告表及其审批部门审批决定</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3BF6E1FA">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411A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4D1DB3DC">
            <w:pPr>
              <w:snapToGrid w:val="0"/>
              <w:jc w:val="center"/>
              <w:rPr>
                <w:rFonts w:cs="Times New Roman"/>
                <w:kern w:val="0"/>
                <w:szCs w:val="21"/>
                <w:highlight w:val="none"/>
              </w:rPr>
            </w:pPr>
            <w:r>
              <w:rPr>
                <w:rFonts w:ascii="Times New Roman" w:hAnsi="Times New Roman" w:eastAsia="宋体" w:cs="Times New Roman"/>
                <w:kern w:val="0"/>
                <w:szCs w:val="21"/>
                <w:highlight w:val="none"/>
              </w:rPr>
              <w:t>3</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04ECE356">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环境影响报告书（表）经批准后，该建设项目的性质、规模、地点、采用的生产工艺或者防治污染、防止生态破坏的措施发生重大变动，建设单位未重新报批环境影响报告书（表）或者环境影响报告书（表）未经批准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5D6780F7">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本项目的性质、规模、地点、采用的生产工艺和防治污染、防止生态破坏的措施未发生重大变动</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319C1B18">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3569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78942017">
            <w:pPr>
              <w:snapToGrid w:val="0"/>
              <w:jc w:val="center"/>
              <w:rPr>
                <w:rFonts w:cs="Times New Roman"/>
                <w:kern w:val="0"/>
                <w:szCs w:val="21"/>
                <w:highlight w:val="none"/>
              </w:rPr>
            </w:pPr>
            <w:r>
              <w:rPr>
                <w:rFonts w:ascii="Times New Roman" w:hAnsi="Times New Roman" w:eastAsia="宋体" w:cs="Times New Roman"/>
                <w:kern w:val="0"/>
                <w:szCs w:val="21"/>
                <w:highlight w:val="none"/>
              </w:rPr>
              <w:t>4</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490C5805">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建设过程中造成重大环境污染未治理完成，或者造成重大生态破坏未恢复的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6A38DA07">
            <w:pPr>
              <w:snapToGrid w:val="0"/>
              <w:spacing w:line="276" w:lineRule="auto"/>
              <w:jc w:val="left"/>
              <w:rPr>
                <w:rFonts w:cs="Times New Roman"/>
                <w:kern w:val="0"/>
                <w:szCs w:val="21"/>
                <w:highlight w:val="none"/>
              </w:rPr>
            </w:pPr>
            <w:r>
              <w:rPr>
                <w:rFonts w:hint="eastAsia" w:ascii="Times New Roman" w:hAnsi="Times New Roman" w:eastAsia="宋体" w:cs="Times New Roman"/>
                <w:kern w:val="0"/>
                <w:szCs w:val="21"/>
                <w:highlight w:val="none"/>
              </w:rPr>
              <w:t>本项目建设过程中未造成重大环境污染及重大生态破坏</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23E58569">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5225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3E90F13A">
            <w:pPr>
              <w:snapToGrid w:val="0"/>
              <w:jc w:val="center"/>
              <w:rPr>
                <w:rFonts w:cs="Times New Roman"/>
                <w:kern w:val="0"/>
                <w:szCs w:val="21"/>
                <w:highlight w:val="none"/>
              </w:rPr>
            </w:pPr>
            <w:r>
              <w:rPr>
                <w:rFonts w:ascii="Times New Roman" w:hAnsi="Times New Roman" w:eastAsia="宋体" w:cs="Times New Roman"/>
                <w:kern w:val="0"/>
                <w:szCs w:val="21"/>
                <w:highlight w:val="none"/>
              </w:rPr>
              <w:t>5</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3394F867">
            <w:pPr>
              <w:snapToGrid w:val="0"/>
              <w:jc w:val="left"/>
              <w:rPr>
                <w:rFonts w:cs="Times New Roman"/>
                <w:kern w:val="0"/>
                <w:szCs w:val="21"/>
                <w:highlight w:val="none"/>
              </w:rPr>
            </w:pPr>
            <w:r>
              <w:rPr>
                <w:rFonts w:hint="eastAsia" w:ascii="Times New Roman" w:hAnsi="Times New Roman" w:eastAsia="宋体" w:cs="Times New Roman"/>
                <w:kern w:val="0"/>
                <w:szCs w:val="21"/>
                <w:highlight w:val="none"/>
              </w:rPr>
              <w:t>纳入排污许可管理的建设项目，无证排污或者不按证排污的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114950BB">
            <w:pPr>
              <w:snapToGrid w:val="0"/>
              <w:jc w:val="center"/>
              <w:rPr>
                <w:rFonts w:hint="eastAsia" w:eastAsia="宋体" w:cs="Times New Roman"/>
                <w:kern w:val="0"/>
                <w:szCs w:val="21"/>
                <w:highlight w:val="none"/>
                <w:lang w:eastAsia="zh-CN"/>
              </w:rPr>
            </w:pPr>
            <w:r>
              <w:rPr>
                <w:rFonts w:hint="eastAsia" w:ascii="Times New Roman" w:hAnsi="Times New Roman" w:eastAsia="宋体" w:cs="Times New Roman"/>
                <w:kern w:val="0"/>
                <w:szCs w:val="21"/>
                <w:highlight w:val="none"/>
              </w:rPr>
              <w:t>本项目排污已纳入全厂排污许可管理，完成了排污许可</w:t>
            </w:r>
            <w:r>
              <w:rPr>
                <w:rFonts w:hint="eastAsia" w:ascii="Times New Roman" w:hAnsi="Times New Roman" w:eastAsia="宋体" w:cs="Times New Roman"/>
                <w:kern w:val="0"/>
                <w:szCs w:val="21"/>
                <w:highlight w:val="none"/>
                <w:lang w:val="en-US" w:eastAsia="zh-CN"/>
              </w:rPr>
              <w:t>变更登记</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4BAF575C">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53B4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477EF20B">
            <w:pPr>
              <w:snapToGrid w:val="0"/>
              <w:jc w:val="center"/>
              <w:rPr>
                <w:rFonts w:cs="Times New Roman"/>
                <w:kern w:val="0"/>
                <w:szCs w:val="21"/>
                <w:highlight w:val="none"/>
              </w:rPr>
            </w:pPr>
            <w:r>
              <w:rPr>
                <w:rFonts w:ascii="Times New Roman" w:hAnsi="Times New Roman" w:eastAsia="宋体" w:cs="Times New Roman"/>
                <w:kern w:val="0"/>
                <w:szCs w:val="21"/>
                <w:highlight w:val="none"/>
              </w:rPr>
              <w:t>6</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5469F10A">
            <w:pPr>
              <w:snapToGrid w:val="0"/>
              <w:jc w:val="left"/>
              <w:rPr>
                <w:rFonts w:cs="Times New Roman"/>
                <w:kern w:val="0"/>
                <w:szCs w:val="21"/>
                <w:highlight w:val="none"/>
              </w:rPr>
            </w:pPr>
            <w:r>
              <w:rPr>
                <w:rFonts w:hint="eastAsia" w:ascii="Times New Roman" w:hAnsi="Times New Roman" w:eastAsia="宋体" w:cs="Times New Roman"/>
                <w:kern w:val="0"/>
                <w:szCs w:val="21"/>
                <w:highlight w:val="none"/>
              </w:rPr>
              <w:t>分期建设、分期投入生产或者使用依法应当分期验收的建设项目，其分期建设、分期投入生产或者使用的环境保护设施防治环境污染和生态破坏的能力不能满足其相应主体工程需要的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6AFD9946">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本项目为整体建设，环境保护设施防治环境污染和生态破坏的能力可以满足相应主体工程需要</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6BCB60D9">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795A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4E1F434D">
            <w:pPr>
              <w:snapToGrid w:val="0"/>
              <w:jc w:val="center"/>
              <w:rPr>
                <w:rFonts w:cs="Times New Roman"/>
                <w:kern w:val="0"/>
                <w:szCs w:val="21"/>
                <w:highlight w:val="none"/>
              </w:rPr>
            </w:pPr>
            <w:r>
              <w:rPr>
                <w:rFonts w:ascii="Times New Roman" w:hAnsi="Times New Roman" w:eastAsia="宋体" w:cs="Times New Roman"/>
                <w:kern w:val="0"/>
                <w:szCs w:val="21"/>
                <w:highlight w:val="none"/>
              </w:rPr>
              <w:t>7</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63127D71">
            <w:pPr>
              <w:snapToGrid w:val="0"/>
              <w:jc w:val="left"/>
              <w:rPr>
                <w:rFonts w:cs="Times New Roman"/>
                <w:kern w:val="0"/>
                <w:szCs w:val="21"/>
                <w:highlight w:val="none"/>
              </w:rPr>
            </w:pPr>
            <w:r>
              <w:rPr>
                <w:rFonts w:hint="eastAsia" w:ascii="Times New Roman" w:hAnsi="Times New Roman" w:eastAsia="宋体" w:cs="Times New Roman"/>
                <w:kern w:val="0"/>
                <w:szCs w:val="21"/>
                <w:highlight w:val="none"/>
              </w:rPr>
              <w:t>建设单位因该建设项目违反国家和地方环境保护法律法规受到处罚，被责令改正，尚未改正完成的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150F5E45">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建设单位未有因该建设项目违反国家和地方环境保护法律法规受到处罚的情况</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0005D747">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28D1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279BEBA1">
            <w:pPr>
              <w:snapToGrid w:val="0"/>
              <w:jc w:val="center"/>
              <w:rPr>
                <w:rFonts w:cs="Times New Roman"/>
                <w:kern w:val="0"/>
                <w:szCs w:val="21"/>
                <w:highlight w:val="none"/>
              </w:rPr>
            </w:pPr>
            <w:r>
              <w:rPr>
                <w:rFonts w:ascii="Times New Roman" w:hAnsi="Times New Roman" w:eastAsia="宋体" w:cs="Times New Roman"/>
                <w:kern w:val="0"/>
                <w:szCs w:val="21"/>
                <w:highlight w:val="none"/>
              </w:rPr>
              <w:t>8</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2282D008">
            <w:pPr>
              <w:snapToGrid w:val="0"/>
              <w:jc w:val="left"/>
              <w:rPr>
                <w:rFonts w:cs="Times New Roman"/>
                <w:kern w:val="0"/>
                <w:szCs w:val="21"/>
                <w:highlight w:val="none"/>
              </w:rPr>
            </w:pPr>
            <w:r>
              <w:rPr>
                <w:rFonts w:hint="eastAsia" w:ascii="Times New Roman" w:hAnsi="Times New Roman" w:eastAsia="宋体" w:cs="Times New Roman"/>
                <w:kern w:val="0"/>
                <w:szCs w:val="21"/>
                <w:highlight w:val="none"/>
              </w:rPr>
              <w:t>验收报告的基础资料数据明显不实，内容存在重大缺项、遗漏，或者验收结论不明确、不合理的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7DACD940">
            <w:pPr>
              <w:jc w:val="center"/>
              <w:rPr>
                <w:rFonts w:cs="Times New Roman"/>
                <w:kern w:val="0"/>
                <w:szCs w:val="21"/>
                <w:highlight w:val="none"/>
              </w:rPr>
            </w:pPr>
            <w:r>
              <w:rPr>
                <w:rFonts w:hint="eastAsia" w:ascii="Times New Roman" w:hAnsi="Times New Roman" w:eastAsia="宋体" w:cs="Times New Roman"/>
                <w:kern w:val="0"/>
                <w:szCs w:val="21"/>
                <w:highlight w:val="none"/>
              </w:rPr>
              <w:t>本验收报告依据实际监测情况，按照《建设项目竣工环境保护验收技术指南</w:t>
            </w:r>
            <w:r>
              <w:rPr>
                <w:rFonts w:ascii="Times New Roman" w:hAnsi="Times New Roman" w:eastAsia="宋体" w:cs="Times New Roman"/>
                <w:kern w:val="0"/>
                <w:szCs w:val="21"/>
                <w:highlight w:val="none"/>
              </w:rPr>
              <w:t xml:space="preserve"> </w:t>
            </w:r>
            <w:r>
              <w:rPr>
                <w:rFonts w:hint="eastAsia" w:ascii="Times New Roman" w:hAnsi="Times New Roman" w:eastAsia="宋体" w:cs="Times New Roman"/>
                <w:kern w:val="0"/>
                <w:szCs w:val="21"/>
                <w:highlight w:val="none"/>
              </w:rPr>
              <w:t>污染影响类》进行编写，不存在重大缺项、遗漏，验收结论明确、合理</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0F2100BA">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r w14:paraId="0BC2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91" w:type="dxa"/>
            <w:tcBorders>
              <w:top w:val="single" w:color="auto" w:sz="4" w:space="0"/>
              <w:left w:val="single" w:color="auto" w:sz="4" w:space="0"/>
              <w:bottom w:val="single" w:color="auto" w:sz="4" w:space="0"/>
              <w:right w:val="single" w:color="auto" w:sz="4" w:space="0"/>
            </w:tcBorders>
            <w:shd w:val="clear" w:color="auto" w:fill="auto"/>
            <w:vAlign w:val="center"/>
          </w:tcPr>
          <w:p w14:paraId="1FD54BB0">
            <w:pPr>
              <w:snapToGrid w:val="0"/>
              <w:jc w:val="center"/>
              <w:rPr>
                <w:rFonts w:cs="Times New Roman"/>
                <w:kern w:val="0"/>
                <w:szCs w:val="21"/>
                <w:highlight w:val="none"/>
              </w:rPr>
            </w:pPr>
            <w:r>
              <w:rPr>
                <w:rFonts w:ascii="Times New Roman" w:hAnsi="Times New Roman" w:eastAsia="宋体" w:cs="Times New Roman"/>
                <w:kern w:val="0"/>
                <w:szCs w:val="21"/>
                <w:highlight w:val="none"/>
              </w:rPr>
              <w:t>9</w:t>
            </w:r>
          </w:p>
        </w:tc>
        <w:tc>
          <w:tcPr>
            <w:tcW w:w="6678" w:type="dxa"/>
            <w:tcBorders>
              <w:top w:val="single" w:color="auto" w:sz="4" w:space="0"/>
              <w:left w:val="single" w:color="auto" w:sz="4" w:space="0"/>
              <w:bottom w:val="single" w:color="auto" w:sz="4" w:space="0"/>
              <w:right w:val="single" w:color="auto" w:sz="4" w:space="0"/>
            </w:tcBorders>
            <w:shd w:val="clear" w:color="auto" w:fill="auto"/>
            <w:vAlign w:val="center"/>
          </w:tcPr>
          <w:p w14:paraId="64F229D1">
            <w:pPr>
              <w:snapToGrid w:val="0"/>
              <w:jc w:val="left"/>
              <w:rPr>
                <w:rFonts w:cs="Times New Roman"/>
                <w:kern w:val="0"/>
                <w:szCs w:val="21"/>
                <w:highlight w:val="none"/>
              </w:rPr>
            </w:pPr>
            <w:r>
              <w:rPr>
                <w:rFonts w:hint="eastAsia" w:ascii="Times New Roman" w:hAnsi="Times New Roman" w:eastAsia="宋体" w:cs="Times New Roman"/>
                <w:kern w:val="0"/>
                <w:szCs w:val="21"/>
                <w:highlight w:val="none"/>
              </w:rPr>
              <w:t>其他环境保护法律法规规章等规定不得通过环境保护验收的</w:t>
            </w:r>
          </w:p>
        </w:tc>
        <w:tc>
          <w:tcPr>
            <w:tcW w:w="4580" w:type="dxa"/>
            <w:tcBorders>
              <w:top w:val="single" w:color="auto" w:sz="4" w:space="0"/>
              <w:left w:val="single" w:color="auto" w:sz="4" w:space="0"/>
              <w:bottom w:val="single" w:color="auto" w:sz="4" w:space="0"/>
              <w:right w:val="single" w:color="auto" w:sz="4" w:space="0"/>
            </w:tcBorders>
            <w:shd w:val="clear" w:color="auto" w:fill="auto"/>
            <w:vAlign w:val="center"/>
          </w:tcPr>
          <w:p w14:paraId="10F0F576">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本项目不涉及</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094019D4">
            <w:pPr>
              <w:snapToGrid w:val="0"/>
              <w:jc w:val="center"/>
              <w:rPr>
                <w:rFonts w:cs="Times New Roman"/>
                <w:kern w:val="0"/>
                <w:szCs w:val="21"/>
                <w:highlight w:val="none"/>
              </w:rPr>
            </w:pPr>
            <w:r>
              <w:rPr>
                <w:rFonts w:hint="eastAsia" w:ascii="Times New Roman" w:hAnsi="Times New Roman" w:eastAsia="宋体" w:cs="Times New Roman"/>
                <w:kern w:val="0"/>
                <w:szCs w:val="21"/>
                <w:highlight w:val="none"/>
              </w:rPr>
              <w:t>符合验收合格条件</w:t>
            </w:r>
          </w:p>
        </w:tc>
      </w:tr>
    </w:tbl>
    <w:p w14:paraId="0D1607F3">
      <w:pPr>
        <w:pStyle w:val="47"/>
        <w:rPr>
          <w:color w:val="auto"/>
          <w:highlight w:val="yellow"/>
        </w:rPr>
        <w:sectPr>
          <w:pgSz w:w="15840" w:h="12240" w:orient="landscape"/>
          <w:pgMar w:top="1800" w:right="1440" w:bottom="1800" w:left="1440" w:header="720" w:footer="720" w:gutter="0"/>
          <w:cols w:space="425" w:num="1"/>
          <w:docGrid w:type="lines" w:linePitch="312" w:charSpace="0"/>
        </w:sect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6684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tcPr>
          <w:p w14:paraId="64822895">
            <w:pPr>
              <w:spacing w:line="360" w:lineRule="auto"/>
              <w:ind w:firstLine="480" w:firstLineChars="20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由上表可知，本项目不存在《建设项目竣工环境保护验收暂行办法》的公告（国环规环评</w:t>
            </w:r>
            <w:r>
              <w:rPr>
                <w:rFonts w:ascii="Times New Roman" w:hAnsi="Times New Roman" w:eastAsia="宋体" w:cs="Times New Roman"/>
                <w:sz w:val="24"/>
                <w:szCs w:val="24"/>
                <w:highlight w:val="none"/>
              </w:rPr>
              <w:t>[2017]4</w:t>
            </w:r>
            <w:r>
              <w:rPr>
                <w:rFonts w:hint="eastAsia" w:ascii="Times New Roman" w:hAnsi="Times New Roman" w:eastAsia="宋体" w:cs="Times New Roman"/>
                <w:sz w:val="24"/>
                <w:szCs w:val="24"/>
                <w:highlight w:val="none"/>
              </w:rPr>
              <w:t>号）中不得提出验收合格意见的情况。</w:t>
            </w:r>
            <w:r>
              <w:rPr>
                <w:rFonts w:ascii="Times New Roman" w:hAnsi="Times New Roman" w:eastAsia="宋体" w:cs="Times New Roman"/>
                <w:sz w:val="24"/>
                <w:szCs w:val="24"/>
                <w:highlight w:val="none"/>
              </w:rPr>
              <w:t>综上，本项目环境保护验收合格。</w:t>
            </w:r>
          </w:p>
          <w:p w14:paraId="5EAA24D7">
            <w:pPr>
              <w:pStyle w:val="47"/>
              <w:rPr>
                <w:color w:val="auto"/>
                <w:highlight w:val="none"/>
              </w:rPr>
            </w:pPr>
          </w:p>
          <w:p w14:paraId="25EA806B">
            <w:pPr>
              <w:pStyle w:val="47"/>
              <w:rPr>
                <w:color w:val="auto"/>
                <w:highlight w:val="none"/>
              </w:rPr>
            </w:pPr>
          </w:p>
          <w:p w14:paraId="4E76B1DC">
            <w:pPr>
              <w:pStyle w:val="47"/>
              <w:rPr>
                <w:color w:val="auto"/>
                <w:highlight w:val="yellow"/>
              </w:rPr>
            </w:pPr>
          </w:p>
          <w:p w14:paraId="08EDD941">
            <w:pPr>
              <w:pStyle w:val="47"/>
              <w:rPr>
                <w:color w:val="auto"/>
                <w:highlight w:val="yellow"/>
              </w:rPr>
            </w:pPr>
          </w:p>
          <w:p w14:paraId="1F2A50B4">
            <w:pPr>
              <w:pStyle w:val="47"/>
              <w:rPr>
                <w:color w:val="auto"/>
                <w:highlight w:val="yellow"/>
              </w:rPr>
            </w:pPr>
          </w:p>
          <w:p w14:paraId="639AF4A8">
            <w:pPr>
              <w:pStyle w:val="47"/>
              <w:rPr>
                <w:color w:val="auto"/>
                <w:highlight w:val="yellow"/>
              </w:rPr>
            </w:pPr>
          </w:p>
          <w:p w14:paraId="4FCE6890">
            <w:pPr>
              <w:pStyle w:val="47"/>
              <w:rPr>
                <w:color w:val="auto"/>
                <w:highlight w:val="yellow"/>
              </w:rPr>
            </w:pPr>
          </w:p>
          <w:p w14:paraId="16FFA759">
            <w:pPr>
              <w:pStyle w:val="47"/>
              <w:rPr>
                <w:color w:val="auto"/>
                <w:highlight w:val="yellow"/>
              </w:rPr>
            </w:pPr>
          </w:p>
          <w:p w14:paraId="15801E8D">
            <w:pPr>
              <w:pStyle w:val="47"/>
              <w:rPr>
                <w:color w:val="auto"/>
                <w:highlight w:val="yellow"/>
              </w:rPr>
            </w:pPr>
          </w:p>
          <w:p w14:paraId="6473CC60">
            <w:pPr>
              <w:pStyle w:val="47"/>
              <w:rPr>
                <w:color w:val="auto"/>
                <w:highlight w:val="yellow"/>
              </w:rPr>
            </w:pPr>
          </w:p>
          <w:p w14:paraId="174C728B">
            <w:pPr>
              <w:pStyle w:val="47"/>
              <w:rPr>
                <w:color w:val="auto"/>
                <w:highlight w:val="yellow"/>
              </w:rPr>
            </w:pPr>
          </w:p>
          <w:p w14:paraId="4A7F17E7">
            <w:pPr>
              <w:pStyle w:val="47"/>
              <w:rPr>
                <w:color w:val="auto"/>
                <w:highlight w:val="yellow"/>
              </w:rPr>
            </w:pPr>
          </w:p>
          <w:p w14:paraId="7ADA9A8A">
            <w:pPr>
              <w:pStyle w:val="47"/>
              <w:rPr>
                <w:color w:val="auto"/>
                <w:highlight w:val="yellow"/>
              </w:rPr>
            </w:pPr>
          </w:p>
          <w:p w14:paraId="5BFB5F21">
            <w:pPr>
              <w:pStyle w:val="47"/>
              <w:rPr>
                <w:color w:val="auto"/>
                <w:highlight w:val="yellow"/>
              </w:rPr>
            </w:pPr>
          </w:p>
          <w:p w14:paraId="1F4F4FB3">
            <w:pPr>
              <w:pStyle w:val="47"/>
              <w:rPr>
                <w:color w:val="auto"/>
                <w:highlight w:val="yellow"/>
              </w:rPr>
            </w:pPr>
          </w:p>
          <w:p w14:paraId="42F133B0">
            <w:pPr>
              <w:pStyle w:val="47"/>
              <w:rPr>
                <w:color w:val="auto"/>
                <w:highlight w:val="yellow"/>
              </w:rPr>
            </w:pPr>
          </w:p>
          <w:p w14:paraId="3E6D399A">
            <w:pPr>
              <w:pStyle w:val="47"/>
              <w:rPr>
                <w:color w:val="auto"/>
                <w:highlight w:val="yellow"/>
              </w:rPr>
            </w:pPr>
          </w:p>
          <w:p w14:paraId="4977E48C">
            <w:pPr>
              <w:pStyle w:val="47"/>
              <w:rPr>
                <w:color w:val="auto"/>
                <w:highlight w:val="yellow"/>
              </w:rPr>
            </w:pPr>
          </w:p>
          <w:p w14:paraId="34826F76">
            <w:pPr>
              <w:pStyle w:val="47"/>
              <w:rPr>
                <w:color w:val="auto"/>
                <w:highlight w:val="yellow"/>
              </w:rPr>
            </w:pPr>
          </w:p>
          <w:p w14:paraId="12862FEE">
            <w:pPr>
              <w:pStyle w:val="47"/>
              <w:rPr>
                <w:color w:val="auto"/>
                <w:highlight w:val="yellow"/>
              </w:rPr>
            </w:pPr>
          </w:p>
          <w:p w14:paraId="38B8C5C6">
            <w:pPr>
              <w:pStyle w:val="47"/>
              <w:rPr>
                <w:color w:val="auto"/>
                <w:highlight w:val="yellow"/>
              </w:rPr>
            </w:pPr>
          </w:p>
          <w:p w14:paraId="30ADD524">
            <w:pPr>
              <w:pStyle w:val="47"/>
              <w:rPr>
                <w:color w:val="auto"/>
                <w:highlight w:val="yellow"/>
              </w:rPr>
            </w:pPr>
          </w:p>
        </w:tc>
      </w:tr>
    </w:tbl>
    <w:p w14:paraId="1F77D154">
      <w:pPr>
        <w:pStyle w:val="47"/>
        <w:rPr>
          <w:color w:val="auto"/>
          <w:highlight w:val="yellow"/>
        </w:rPr>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Noto Sans CJK JP Black">
    <w:altName w:val="Arial"/>
    <w:panose1 w:val="00000000000000000000"/>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B8ED3">
    <w:pPr>
      <w:pStyle w:val="13"/>
      <w:jc w:val="center"/>
    </w:pPr>
  </w:p>
  <w:p w14:paraId="75E1276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3116319"/>
    </w:sdtPr>
    <w:sdtContent>
      <w:p w14:paraId="2E8FCDDA">
        <w:pPr>
          <w:pStyle w:val="13"/>
          <w:jc w:val="center"/>
        </w:pPr>
        <w:r>
          <w:fldChar w:fldCharType="begin"/>
        </w:r>
        <w:r>
          <w:instrText xml:space="preserve">PAGE   \* MERGEFORMAT</w:instrText>
        </w:r>
        <w:r>
          <w:fldChar w:fldCharType="separate"/>
        </w:r>
        <w:r>
          <w:rPr>
            <w:lang w:val="zh-CN"/>
          </w:rPr>
          <w:t>4</w:t>
        </w:r>
        <w:r>
          <w:rPr>
            <w:lang w:val="zh-CN"/>
          </w:rPr>
          <w:fldChar w:fldCharType="end"/>
        </w:r>
      </w:p>
    </w:sdtContent>
  </w:sdt>
  <w:p w14:paraId="7FDDCE4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723D">
    <w:pPr>
      <w:pStyle w:val="14"/>
      <w:pBdr>
        <w:bottom w:val="none" w:color="auto" w:sz="0" w:space="1"/>
      </w:pBdr>
      <w:jc w:val="both"/>
    </w:pPr>
    <w:r>
      <w:rPr>
        <w:rFonts w:hint="eastAsia"/>
        <w:kern w:val="0"/>
        <w:szCs w:val="21"/>
      </w:rPr>
      <w:t xml:space="preserve"> </w:t>
    </w:r>
  </w:p>
  <w:p w14:paraId="47B96883">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74922"/>
    <w:multiLevelType w:val="multilevel"/>
    <w:tmpl w:val="0357492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3ACA498"/>
    <w:multiLevelType w:val="singleLevel"/>
    <w:tmpl w:val="73ACA498"/>
    <w:lvl w:ilvl="0" w:tentative="0">
      <w:start w:val="1"/>
      <w:numFmt w:val="decimal"/>
      <w:suff w:val="nothing"/>
      <w:lvlText w:val="（%1）"/>
      <w:lvlJc w:val="left"/>
      <w:rPr>
        <w:rFonts w:hint="default"/>
        <w:b w:val="0"/>
        <w:bCs w:val="0"/>
      </w:rPr>
    </w:lvl>
  </w:abstractNum>
  <w:abstractNum w:abstractNumId="2">
    <w:nsid w:val="77D86139"/>
    <w:multiLevelType w:val="singleLevel"/>
    <w:tmpl w:val="77D86139"/>
    <w:lvl w:ilvl="0" w:tentative="0">
      <w:start w:val="1"/>
      <w:numFmt w:val="decimal"/>
      <w:pStyle w:val="9"/>
      <w:suff w:val="nothing"/>
      <w:lvlText w:val="（%1）"/>
      <w:lvlJc w:val="left"/>
      <w:rPr>
        <w:rFonts w:hint="default"/>
        <w:b w:val="0"/>
        <w:bCs w:val="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4YzMwNTAyNGMzNmI2OGMxOTJlMmY4MTlhOTBjMWMifQ=="/>
  </w:docVars>
  <w:rsids>
    <w:rsidRoot w:val="00172A27"/>
    <w:rsid w:val="00000A72"/>
    <w:rsid w:val="00000D0A"/>
    <w:rsid w:val="00000D15"/>
    <w:rsid w:val="00000FB2"/>
    <w:rsid w:val="00001EE7"/>
    <w:rsid w:val="000049E1"/>
    <w:rsid w:val="00004DEA"/>
    <w:rsid w:val="00005613"/>
    <w:rsid w:val="0000596E"/>
    <w:rsid w:val="00006596"/>
    <w:rsid w:val="000111C0"/>
    <w:rsid w:val="000118D8"/>
    <w:rsid w:val="00011B60"/>
    <w:rsid w:val="000122EB"/>
    <w:rsid w:val="000143EB"/>
    <w:rsid w:val="00015832"/>
    <w:rsid w:val="00015940"/>
    <w:rsid w:val="00015E2C"/>
    <w:rsid w:val="00016039"/>
    <w:rsid w:val="000165D7"/>
    <w:rsid w:val="0001719A"/>
    <w:rsid w:val="00017A27"/>
    <w:rsid w:val="00017ED0"/>
    <w:rsid w:val="000211D2"/>
    <w:rsid w:val="0002192E"/>
    <w:rsid w:val="00022049"/>
    <w:rsid w:val="00022CC6"/>
    <w:rsid w:val="000244C5"/>
    <w:rsid w:val="00025464"/>
    <w:rsid w:val="0002623C"/>
    <w:rsid w:val="00026511"/>
    <w:rsid w:val="00027F79"/>
    <w:rsid w:val="00031372"/>
    <w:rsid w:val="00032DAF"/>
    <w:rsid w:val="000332FA"/>
    <w:rsid w:val="00033FC3"/>
    <w:rsid w:val="000341F8"/>
    <w:rsid w:val="0003486A"/>
    <w:rsid w:val="00034E98"/>
    <w:rsid w:val="00035317"/>
    <w:rsid w:val="00036A77"/>
    <w:rsid w:val="00037E65"/>
    <w:rsid w:val="00040A35"/>
    <w:rsid w:val="00041A34"/>
    <w:rsid w:val="0004277F"/>
    <w:rsid w:val="00043095"/>
    <w:rsid w:val="0004397A"/>
    <w:rsid w:val="00043BE9"/>
    <w:rsid w:val="00044463"/>
    <w:rsid w:val="000452D4"/>
    <w:rsid w:val="000456CB"/>
    <w:rsid w:val="000467A1"/>
    <w:rsid w:val="00046847"/>
    <w:rsid w:val="00046BD5"/>
    <w:rsid w:val="00047407"/>
    <w:rsid w:val="00047620"/>
    <w:rsid w:val="000477A5"/>
    <w:rsid w:val="000507EA"/>
    <w:rsid w:val="00050877"/>
    <w:rsid w:val="00051042"/>
    <w:rsid w:val="000537BC"/>
    <w:rsid w:val="00053EA8"/>
    <w:rsid w:val="00055DA6"/>
    <w:rsid w:val="00060995"/>
    <w:rsid w:val="00061D5F"/>
    <w:rsid w:val="0006372E"/>
    <w:rsid w:val="000641C5"/>
    <w:rsid w:val="00064201"/>
    <w:rsid w:val="00064293"/>
    <w:rsid w:val="00064A43"/>
    <w:rsid w:val="00064AB7"/>
    <w:rsid w:val="00066C40"/>
    <w:rsid w:val="00067484"/>
    <w:rsid w:val="00067CB6"/>
    <w:rsid w:val="000714C8"/>
    <w:rsid w:val="00072537"/>
    <w:rsid w:val="0007305F"/>
    <w:rsid w:val="00073D5C"/>
    <w:rsid w:val="00074E2B"/>
    <w:rsid w:val="00075025"/>
    <w:rsid w:val="00075042"/>
    <w:rsid w:val="00075D8F"/>
    <w:rsid w:val="00076870"/>
    <w:rsid w:val="0007697F"/>
    <w:rsid w:val="000775F9"/>
    <w:rsid w:val="00077D55"/>
    <w:rsid w:val="000806ED"/>
    <w:rsid w:val="00080AA0"/>
    <w:rsid w:val="000811E2"/>
    <w:rsid w:val="000816B0"/>
    <w:rsid w:val="00082182"/>
    <w:rsid w:val="000824AD"/>
    <w:rsid w:val="000827BA"/>
    <w:rsid w:val="00082922"/>
    <w:rsid w:val="00082D73"/>
    <w:rsid w:val="000836AF"/>
    <w:rsid w:val="00083CD1"/>
    <w:rsid w:val="00083F73"/>
    <w:rsid w:val="000844E1"/>
    <w:rsid w:val="0008525E"/>
    <w:rsid w:val="0008592A"/>
    <w:rsid w:val="00085A2A"/>
    <w:rsid w:val="00085B6A"/>
    <w:rsid w:val="00087ED2"/>
    <w:rsid w:val="0009137C"/>
    <w:rsid w:val="00092063"/>
    <w:rsid w:val="00092AE0"/>
    <w:rsid w:val="00092C2F"/>
    <w:rsid w:val="00094062"/>
    <w:rsid w:val="000956EF"/>
    <w:rsid w:val="0009576E"/>
    <w:rsid w:val="0009586E"/>
    <w:rsid w:val="00096011"/>
    <w:rsid w:val="0009624E"/>
    <w:rsid w:val="000965FB"/>
    <w:rsid w:val="00096E21"/>
    <w:rsid w:val="00097F0B"/>
    <w:rsid w:val="000A038B"/>
    <w:rsid w:val="000A0E88"/>
    <w:rsid w:val="000A17D0"/>
    <w:rsid w:val="000A1FC6"/>
    <w:rsid w:val="000A2015"/>
    <w:rsid w:val="000A226E"/>
    <w:rsid w:val="000A24DC"/>
    <w:rsid w:val="000A3601"/>
    <w:rsid w:val="000A371D"/>
    <w:rsid w:val="000A3A84"/>
    <w:rsid w:val="000A43FC"/>
    <w:rsid w:val="000A49A3"/>
    <w:rsid w:val="000A500E"/>
    <w:rsid w:val="000A54CB"/>
    <w:rsid w:val="000B009F"/>
    <w:rsid w:val="000B015B"/>
    <w:rsid w:val="000B0E89"/>
    <w:rsid w:val="000B46A9"/>
    <w:rsid w:val="000B742E"/>
    <w:rsid w:val="000C0269"/>
    <w:rsid w:val="000C128C"/>
    <w:rsid w:val="000C1929"/>
    <w:rsid w:val="000C25A4"/>
    <w:rsid w:val="000C2C56"/>
    <w:rsid w:val="000C3D9E"/>
    <w:rsid w:val="000C45E6"/>
    <w:rsid w:val="000C4D11"/>
    <w:rsid w:val="000C5255"/>
    <w:rsid w:val="000C5B97"/>
    <w:rsid w:val="000C5E58"/>
    <w:rsid w:val="000C6009"/>
    <w:rsid w:val="000C6C14"/>
    <w:rsid w:val="000D07DE"/>
    <w:rsid w:val="000D0B4B"/>
    <w:rsid w:val="000D1635"/>
    <w:rsid w:val="000D16DF"/>
    <w:rsid w:val="000D18CE"/>
    <w:rsid w:val="000D1FDC"/>
    <w:rsid w:val="000D20FF"/>
    <w:rsid w:val="000D27DB"/>
    <w:rsid w:val="000D2C54"/>
    <w:rsid w:val="000D3CA6"/>
    <w:rsid w:val="000D3DF4"/>
    <w:rsid w:val="000D3E5F"/>
    <w:rsid w:val="000D46C2"/>
    <w:rsid w:val="000D4CFD"/>
    <w:rsid w:val="000D51B6"/>
    <w:rsid w:val="000D5DF4"/>
    <w:rsid w:val="000D64D3"/>
    <w:rsid w:val="000D696B"/>
    <w:rsid w:val="000D7F15"/>
    <w:rsid w:val="000E07B9"/>
    <w:rsid w:val="000E1B1B"/>
    <w:rsid w:val="000E24B7"/>
    <w:rsid w:val="000E348D"/>
    <w:rsid w:val="000E3D09"/>
    <w:rsid w:val="000E3F0A"/>
    <w:rsid w:val="000E5169"/>
    <w:rsid w:val="000E58B4"/>
    <w:rsid w:val="000E5A3A"/>
    <w:rsid w:val="000E79B6"/>
    <w:rsid w:val="000E7EB8"/>
    <w:rsid w:val="000F0864"/>
    <w:rsid w:val="000F087B"/>
    <w:rsid w:val="000F2158"/>
    <w:rsid w:val="000F3C04"/>
    <w:rsid w:val="000F3DF7"/>
    <w:rsid w:val="000F4522"/>
    <w:rsid w:val="000F50F8"/>
    <w:rsid w:val="000F5971"/>
    <w:rsid w:val="000F67BE"/>
    <w:rsid w:val="000F6FBA"/>
    <w:rsid w:val="000F7C09"/>
    <w:rsid w:val="00100665"/>
    <w:rsid w:val="00101CFB"/>
    <w:rsid w:val="0010288A"/>
    <w:rsid w:val="00103266"/>
    <w:rsid w:val="001055D9"/>
    <w:rsid w:val="0010581F"/>
    <w:rsid w:val="00105B4E"/>
    <w:rsid w:val="00107C08"/>
    <w:rsid w:val="00107C3D"/>
    <w:rsid w:val="00110B84"/>
    <w:rsid w:val="0011101F"/>
    <w:rsid w:val="00113112"/>
    <w:rsid w:val="0011327A"/>
    <w:rsid w:val="0011412D"/>
    <w:rsid w:val="001160F6"/>
    <w:rsid w:val="00116883"/>
    <w:rsid w:val="00116A12"/>
    <w:rsid w:val="00117CEE"/>
    <w:rsid w:val="00120350"/>
    <w:rsid w:val="00120F02"/>
    <w:rsid w:val="00121627"/>
    <w:rsid w:val="00121DED"/>
    <w:rsid w:val="00123412"/>
    <w:rsid w:val="00123508"/>
    <w:rsid w:val="00124285"/>
    <w:rsid w:val="0012591F"/>
    <w:rsid w:val="00126B24"/>
    <w:rsid w:val="00132B99"/>
    <w:rsid w:val="00133CEA"/>
    <w:rsid w:val="0013485F"/>
    <w:rsid w:val="00134A75"/>
    <w:rsid w:val="00134B5E"/>
    <w:rsid w:val="00135772"/>
    <w:rsid w:val="001360BA"/>
    <w:rsid w:val="001360DE"/>
    <w:rsid w:val="0013633E"/>
    <w:rsid w:val="00137F42"/>
    <w:rsid w:val="001404CB"/>
    <w:rsid w:val="001419D4"/>
    <w:rsid w:val="00142513"/>
    <w:rsid w:val="001432AB"/>
    <w:rsid w:val="00143B5B"/>
    <w:rsid w:val="00145F17"/>
    <w:rsid w:val="00145F1D"/>
    <w:rsid w:val="00146C61"/>
    <w:rsid w:val="00146CBF"/>
    <w:rsid w:val="001479C1"/>
    <w:rsid w:val="00147A7E"/>
    <w:rsid w:val="001501AF"/>
    <w:rsid w:val="00150B1D"/>
    <w:rsid w:val="00150C90"/>
    <w:rsid w:val="00150D30"/>
    <w:rsid w:val="0015161D"/>
    <w:rsid w:val="00151DDC"/>
    <w:rsid w:val="00152CF8"/>
    <w:rsid w:val="00152F79"/>
    <w:rsid w:val="0015339C"/>
    <w:rsid w:val="00153BCC"/>
    <w:rsid w:val="00154703"/>
    <w:rsid w:val="00155817"/>
    <w:rsid w:val="00155A02"/>
    <w:rsid w:val="00156265"/>
    <w:rsid w:val="001562CE"/>
    <w:rsid w:val="00156488"/>
    <w:rsid w:val="00157607"/>
    <w:rsid w:val="00157DC6"/>
    <w:rsid w:val="001604B1"/>
    <w:rsid w:val="00161227"/>
    <w:rsid w:val="001622EF"/>
    <w:rsid w:val="00163986"/>
    <w:rsid w:val="0016497E"/>
    <w:rsid w:val="0016638E"/>
    <w:rsid w:val="00166D5F"/>
    <w:rsid w:val="00167471"/>
    <w:rsid w:val="00170A4F"/>
    <w:rsid w:val="00170FC1"/>
    <w:rsid w:val="00170FCE"/>
    <w:rsid w:val="00172900"/>
    <w:rsid w:val="00172A27"/>
    <w:rsid w:val="00172A81"/>
    <w:rsid w:val="00172C33"/>
    <w:rsid w:val="00174474"/>
    <w:rsid w:val="001746B5"/>
    <w:rsid w:val="00174DF9"/>
    <w:rsid w:val="00176D68"/>
    <w:rsid w:val="001778A4"/>
    <w:rsid w:val="00177ACF"/>
    <w:rsid w:val="00177D83"/>
    <w:rsid w:val="00182831"/>
    <w:rsid w:val="001831D1"/>
    <w:rsid w:val="00183583"/>
    <w:rsid w:val="001836CF"/>
    <w:rsid w:val="001847E7"/>
    <w:rsid w:val="00184CF2"/>
    <w:rsid w:val="00185229"/>
    <w:rsid w:val="001858B7"/>
    <w:rsid w:val="001861B4"/>
    <w:rsid w:val="001861E7"/>
    <w:rsid w:val="001909A8"/>
    <w:rsid w:val="0019191C"/>
    <w:rsid w:val="00191FC5"/>
    <w:rsid w:val="00192177"/>
    <w:rsid w:val="00192733"/>
    <w:rsid w:val="00192754"/>
    <w:rsid w:val="00192DDE"/>
    <w:rsid w:val="0019383D"/>
    <w:rsid w:val="001950D0"/>
    <w:rsid w:val="001963D1"/>
    <w:rsid w:val="001963F8"/>
    <w:rsid w:val="00196F85"/>
    <w:rsid w:val="00197463"/>
    <w:rsid w:val="001977E1"/>
    <w:rsid w:val="001A05B7"/>
    <w:rsid w:val="001A0B32"/>
    <w:rsid w:val="001A19F3"/>
    <w:rsid w:val="001A321C"/>
    <w:rsid w:val="001A3981"/>
    <w:rsid w:val="001A42DC"/>
    <w:rsid w:val="001A520C"/>
    <w:rsid w:val="001A5CA1"/>
    <w:rsid w:val="001A64BA"/>
    <w:rsid w:val="001A6553"/>
    <w:rsid w:val="001B2226"/>
    <w:rsid w:val="001B367C"/>
    <w:rsid w:val="001B430A"/>
    <w:rsid w:val="001B46D4"/>
    <w:rsid w:val="001B4F85"/>
    <w:rsid w:val="001B51BE"/>
    <w:rsid w:val="001B648F"/>
    <w:rsid w:val="001B6BE4"/>
    <w:rsid w:val="001B773E"/>
    <w:rsid w:val="001C03A3"/>
    <w:rsid w:val="001C29CA"/>
    <w:rsid w:val="001C2BF7"/>
    <w:rsid w:val="001C3533"/>
    <w:rsid w:val="001C37A0"/>
    <w:rsid w:val="001C3FDB"/>
    <w:rsid w:val="001C4078"/>
    <w:rsid w:val="001C679D"/>
    <w:rsid w:val="001C6BA9"/>
    <w:rsid w:val="001C73F2"/>
    <w:rsid w:val="001C7FD7"/>
    <w:rsid w:val="001D1A3F"/>
    <w:rsid w:val="001D1C87"/>
    <w:rsid w:val="001D2742"/>
    <w:rsid w:val="001D2831"/>
    <w:rsid w:val="001D2F18"/>
    <w:rsid w:val="001D4BE9"/>
    <w:rsid w:val="001D4CC0"/>
    <w:rsid w:val="001D5353"/>
    <w:rsid w:val="001D5D4B"/>
    <w:rsid w:val="001D6C6D"/>
    <w:rsid w:val="001D6E0F"/>
    <w:rsid w:val="001D7D26"/>
    <w:rsid w:val="001D7F1E"/>
    <w:rsid w:val="001E04EF"/>
    <w:rsid w:val="001E1261"/>
    <w:rsid w:val="001E2AC1"/>
    <w:rsid w:val="001E490B"/>
    <w:rsid w:val="001E58F0"/>
    <w:rsid w:val="001E6AEA"/>
    <w:rsid w:val="001E6D36"/>
    <w:rsid w:val="001E7107"/>
    <w:rsid w:val="001E7118"/>
    <w:rsid w:val="001E7281"/>
    <w:rsid w:val="001E7ABE"/>
    <w:rsid w:val="001E7C30"/>
    <w:rsid w:val="001E7E76"/>
    <w:rsid w:val="001F00BF"/>
    <w:rsid w:val="001F095C"/>
    <w:rsid w:val="001F2C83"/>
    <w:rsid w:val="001F347E"/>
    <w:rsid w:val="001F6281"/>
    <w:rsid w:val="001F646A"/>
    <w:rsid w:val="001F67CA"/>
    <w:rsid w:val="001F6804"/>
    <w:rsid w:val="001F78DB"/>
    <w:rsid w:val="00200D34"/>
    <w:rsid w:val="002014CC"/>
    <w:rsid w:val="00202253"/>
    <w:rsid w:val="00202378"/>
    <w:rsid w:val="00202FD2"/>
    <w:rsid w:val="002038C7"/>
    <w:rsid w:val="00203AB8"/>
    <w:rsid w:val="00204E63"/>
    <w:rsid w:val="00205D78"/>
    <w:rsid w:val="002071E5"/>
    <w:rsid w:val="00207DA9"/>
    <w:rsid w:val="00210AD9"/>
    <w:rsid w:val="00210E57"/>
    <w:rsid w:val="0021221E"/>
    <w:rsid w:val="002123BC"/>
    <w:rsid w:val="0021252A"/>
    <w:rsid w:val="00213325"/>
    <w:rsid w:val="002139E4"/>
    <w:rsid w:val="00215413"/>
    <w:rsid w:val="0021550A"/>
    <w:rsid w:val="002160C1"/>
    <w:rsid w:val="00217E95"/>
    <w:rsid w:val="002205CD"/>
    <w:rsid w:val="00220D24"/>
    <w:rsid w:val="0022171E"/>
    <w:rsid w:val="00221CF6"/>
    <w:rsid w:val="00222129"/>
    <w:rsid w:val="0022280B"/>
    <w:rsid w:val="0022358D"/>
    <w:rsid w:val="002249D0"/>
    <w:rsid w:val="00225DCB"/>
    <w:rsid w:val="00226946"/>
    <w:rsid w:val="002270DF"/>
    <w:rsid w:val="002277E6"/>
    <w:rsid w:val="0023000B"/>
    <w:rsid w:val="002300F0"/>
    <w:rsid w:val="00231000"/>
    <w:rsid w:val="0023124F"/>
    <w:rsid w:val="00231A12"/>
    <w:rsid w:val="00232FB5"/>
    <w:rsid w:val="0023393F"/>
    <w:rsid w:val="00234296"/>
    <w:rsid w:val="00234B2B"/>
    <w:rsid w:val="00235F28"/>
    <w:rsid w:val="0023775C"/>
    <w:rsid w:val="002421D1"/>
    <w:rsid w:val="002439C2"/>
    <w:rsid w:val="00245185"/>
    <w:rsid w:val="00245337"/>
    <w:rsid w:val="002458C0"/>
    <w:rsid w:val="00245C74"/>
    <w:rsid w:val="00247A2D"/>
    <w:rsid w:val="0025087C"/>
    <w:rsid w:val="002509A1"/>
    <w:rsid w:val="00250B80"/>
    <w:rsid w:val="00251158"/>
    <w:rsid w:val="00251C0B"/>
    <w:rsid w:val="00251F13"/>
    <w:rsid w:val="00252DA6"/>
    <w:rsid w:val="00253954"/>
    <w:rsid w:val="002541B2"/>
    <w:rsid w:val="00254321"/>
    <w:rsid w:val="002546B4"/>
    <w:rsid w:val="00254D8D"/>
    <w:rsid w:val="00254F9E"/>
    <w:rsid w:val="0025741B"/>
    <w:rsid w:val="002575EA"/>
    <w:rsid w:val="00257AAC"/>
    <w:rsid w:val="00257BA6"/>
    <w:rsid w:val="00257CCD"/>
    <w:rsid w:val="00257F66"/>
    <w:rsid w:val="00260EBE"/>
    <w:rsid w:val="00261C4C"/>
    <w:rsid w:val="00262493"/>
    <w:rsid w:val="00262A22"/>
    <w:rsid w:val="00262DC1"/>
    <w:rsid w:val="00263893"/>
    <w:rsid w:val="00263B21"/>
    <w:rsid w:val="002641FB"/>
    <w:rsid w:val="0026695C"/>
    <w:rsid w:val="002716B5"/>
    <w:rsid w:val="002731D4"/>
    <w:rsid w:val="002755DA"/>
    <w:rsid w:val="00275DD7"/>
    <w:rsid w:val="00280EB8"/>
    <w:rsid w:val="00282113"/>
    <w:rsid w:val="00282314"/>
    <w:rsid w:val="002827B6"/>
    <w:rsid w:val="0028372A"/>
    <w:rsid w:val="00283A74"/>
    <w:rsid w:val="00284341"/>
    <w:rsid w:val="00284689"/>
    <w:rsid w:val="00285835"/>
    <w:rsid w:val="00285B2F"/>
    <w:rsid w:val="00285F16"/>
    <w:rsid w:val="00290047"/>
    <w:rsid w:val="002902A1"/>
    <w:rsid w:val="00290D15"/>
    <w:rsid w:val="00290F8A"/>
    <w:rsid w:val="00291539"/>
    <w:rsid w:val="0029199A"/>
    <w:rsid w:val="00291EAE"/>
    <w:rsid w:val="00292B61"/>
    <w:rsid w:val="002937F8"/>
    <w:rsid w:val="00293B0C"/>
    <w:rsid w:val="00294F5C"/>
    <w:rsid w:val="00294F88"/>
    <w:rsid w:val="00296601"/>
    <w:rsid w:val="00296F3A"/>
    <w:rsid w:val="00297375"/>
    <w:rsid w:val="002A0174"/>
    <w:rsid w:val="002A0375"/>
    <w:rsid w:val="002A0FD1"/>
    <w:rsid w:val="002A19B6"/>
    <w:rsid w:val="002A1BE4"/>
    <w:rsid w:val="002A24E6"/>
    <w:rsid w:val="002A43F9"/>
    <w:rsid w:val="002A5B3A"/>
    <w:rsid w:val="002A6205"/>
    <w:rsid w:val="002A6237"/>
    <w:rsid w:val="002A6566"/>
    <w:rsid w:val="002A6920"/>
    <w:rsid w:val="002A7107"/>
    <w:rsid w:val="002A77AF"/>
    <w:rsid w:val="002B0206"/>
    <w:rsid w:val="002B037C"/>
    <w:rsid w:val="002B07D5"/>
    <w:rsid w:val="002B1782"/>
    <w:rsid w:val="002B1A16"/>
    <w:rsid w:val="002B1ACF"/>
    <w:rsid w:val="002B271D"/>
    <w:rsid w:val="002B2BC2"/>
    <w:rsid w:val="002B332D"/>
    <w:rsid w:val="002B3CF9"/>
    <w:rsid w:val="002B447C"/>
    <w:rsid w:val="002B5C3C"/>
    <w:rsid w:val="002B63D8"/>
    <w:rsid w:val="002B64D8"/>
    <w:rsid w:val="002B6C63"/>
    <w:rsid w:val="002B73CF"/>
    <w:rsid w:val="002B7754"/>
    <w:rsid w:val="002B7A74"/>
    <w:rsid w:val="002B7B62"/>
    <w:rsid w:val="002C104B"/>
    <w:rsid w:val="002C1A90"/>
    <w:rsid w:val="002C31B3"/>
    <w:rsid w:val="002C3943"/>
    <w:rsid w:val="002C3B7B"/>
    <w:rsid w:val="002C3C07"/>
    <w:rsid w:val="002C3C43"/>
    <w:rsid w:val="002C41CD"/>
    <w:rsid w:val="002C4E49"/>
    <w:rsid w:val="002C4EFC"/>
    <w:rsid w:val="002C5989"/>
    <w:rsid w:val="002C6EF1"/>
    <w:rsid w:val="002C742A"/>
    <w:rsid w:val="002C7C66"/>
    <w:rsid w:val="002D04D6"/>
    <w:rsid w:val="002D1632"/>
    <w:rsid w:val="002D19C6"/>
    <w:rsid w:val="002D2994"/>
    <w:rsid w:val="002D2AEA"/>
    <w:rsid w:val="002D2F0D"/>
    <w:rsid w:val="002D30DF"/>
    <w:rsid w:val="002D359D"/>
    <w:rsid w:val="002D3FC9"/>
    <w:rsid w:val="002D4973"/>
    <w:rsid w:val="002D5EAB"/>
    <w:rsid w:val="002D5EF1"/>
    <w:rsid w:val="002D68E4"/>
    <w:rsid w:val="002D6FB6"/>
    <w:rsid w:val="002D7D8C"/>
    <w:rsid w:val="002D7FBD"/>
    <w:rsid w:val="002E00ED"/>
    <w:rsid w:val="002E06F1"/>
    <w:rsid w:val="002E10F8"/>
    <w:rsid w:val="002E1670"/>
    <w:rsid w:val="002E18BC"/>
    <w:rsid w:val="002E2577"/>
    <w:rsid w:val="002E262C"/>
    <w:rsid w:val="002E288D"/>
    <w:rsid w:val="002E44B3"/>
    <w:rsid w:val="002E4B79"/>
    <w:rsid w:val="002E51CE"/>
    <w:rsid w:val="002E5E5E"/>
    <w:rsid w:val="002E6A26"/>
    <w:rsid w:val="002E792D"/>
    <w:rsid w:val="002E7D0E"/>
    <w:rsid w:val="002F00E0"/>
    <w:rsid w:val="002F1321"/>
    <w:rsid w:val="002F1C7E"/>
    <w:rsid w:val="002F1CBE"/>
    <w:rsid w:val="002F28B5"/>
    <w:rsid w:val="002F49E7"/>
    <w:rsid w:val="002F4F2E"/>
    <w:rsid w:val="002F5E7A"/>
    <w:rsid w:val="002F716A"/>
    <w:rsid w:val="00300B7F"/>
    <w:rsid w:val="003019D3"/>
    <w:rsid w:val="00302C3E"/>
    <w:rsid w:val="003030AA"/>
    <w:rsid w:val="003034E4"/>
    <w:rsid w:val="003039C5"/>
    <w:rsid w:val="00304780"/>
    <w:rsid w:val="003048F7"/>
    <w:rsid w:val="00304DB9"/>
    <w:rsid w:val="00305802"/>
    <w:rsid w:val="00305E18"/>
    <w:rsid w:val="00305F7C"/>
    <w:rsid w:val="003071D2"/>
    <w:rsid w:val="00307CA8"/>
    <w:rsid w:val="0031040C"/>
    <w:rsid w:val="00313038"/>
    <w:rsid w:val="00314363"/>
    <w:rsid w:val="0031610B"/>
    <w:rsid w:val="00317A82"/>
    <w:rsid w:val="00317B09"/>
    <w:rsid w:val="00317B86"/>
    <w:rsid w:val="00317D62"/>
    <w:rsid w:val="00320500"/>
    <w:rsid w:val="00321505"/>
    <w:rsid w:val="003218CA"/>
    <w:rsid w:val="003218D2"/>
    <w:rsid w:val="00321DBB"/>
    <w:rsid w:val="00322A0B"/>
    <w:rsid w:val="003231BA"/>
    <w:rsid w:val="0032330F"/>
    <w:rsid w:val="003251C5"/>
    <w:rsid w:val="00325270"/>
    <w:rsid w:val="00325855"/>
    <w:rsid w:val="003262D4"/>
    <w:rsid w:val="0032633A"/>
    <w:rsid w:val="00327879"/>
    <w:rsid w:val="00327F89"/>
    <w:rsid w:val="0033007E"/>
    <w:rsid w:val="003313AB"/>
    <w:rsid w:val="0033181B"/>
    <w:rsid w:val="00332018"/>
    <w:rsid w:val="00333391"/>
    <w:rsid w:val="003334DB"/>
    <w:rsid w:val="0033425E"/>
    <w:rsid w:val="00334A2A"/>
    <w:rsid w:val="00335F8E"/>
    <w:rsid w:val="003360BE"/>
    <w:rsid w:val="003378C6"/>
    <w:rsid w:val="00340167"/>
    <w:rsid w:val="00341548"/>
    <w:rsid w:val="00341EBE"/>
    <w:rsid w:val="003421FF"/>
    <w:rsid w:val="00342F09"/>
    <w:rsid w:val="00343D0B"/>
    <w:rsid w:val="00345209"/>
    <w:rsid w:val="0034539B"/>
    <w:rsid w:val="003456E6"/>
    <w:rsid w:val="00345858"/>
    <w:rsid w:val="003462D4"/>
    <w:rsid w:val="003464FF"/>
    <w:rsid w:val="00346C95"/>
    <w:rsid w:val="0034728E"/>
    <w:rsid w:val="00347BAB"/>
    <w:rsid w:val="003506B8"/>
    <w:rsid w:val="00350C55"/>
    <w:rsid w:val="00352C40"/>
    <w:rsid w:val="00356675"/>
    <w:rsid w:val="00356AEF"/>
    <w:rsid w:val="00356BA0"/>
    <w:rsid w:val="00356F17"/>
    <w:rsid w:val="00357FD6"/>
    <w:rsid w:val="003604E6"/>
    <w:rsid w:val="00360663"/>
    <w:rsid w:val="00360699"/>
    <w:rsid w:val="003613EF"/>
    <w:rsid w:val="003616E4"/>
    <w:rsid w:val="00361EDF"/>
    <w:rsid w:val="00361F5B"/>
    <w:rsid w:val="0036277C"/>
    <w:rsid w:val="00362BDA"/>
    <w:rsid w:val="00362DFF"/>
    <w:rsid w:val="003631F3"/>
    <w:rsid w:val="003643A7"/>
    <w:rsid w:val="003649AB"/>
    <w:rsid w:val="00365286"/>
    <w:rsid w:val="00365989"/>
    <w:rsid w:val="00365B7F"/>
    <w:rsid w:val="00365C78"/>
    <w:rsid w:val="00365E10"/>
    <w:rsid w:val="003665A0"/>
    <w:rsid w:val="00367B8C"/>
    <w:rsid w:val="0037005B"/>
    <w:rsid w:val="00370310"/>
    <w:rsid w:val="0037116E"/>
    <w:rsid w:val="00371FCF"/>
    <w:rsid w:val="003739BF"/>
    <w:rsid w:val="00374804"/>
    <w:rsid w:val="00374C36"/>
    <w:rsid w:val="0037625E"/>
    <w:rsid w:val="003816C7"/>
    <w:rsid w:val="003829EB"/>
    <w:rsid w:val="0038482F"/>
    <w:rsid w:val="003850F5"/>
    <w:rsid w:val="003851DF"/>
    <w:rsid w:val="003901DA"/>
    <w:rsid w:val="0039077A"/>
    <w:rsid w:val="00390DC3"/>
    <w:rsid w:val="00390EED"/>
    <w:rsid w:val="00391332"/>
    <w:rsid w:val="00391A60"/>
    <w:rsid w:val="003929A0"/>
    <w:rsid w:val="00392D01"/>
    <w:rsid w:val="00396221"/>
    <w:rsid w:val="00397830"/>
    <w:rsid w:val="003A0A35"/>
    <w:rsid w:val="003A2273"/>
    <w:rsid w:val="003A403D"/>
    <w:rsid w:val="003A48C5"/>
    <w:rsid w:val="003A4D10"/>
    <w:rsid w:val="003A4E89"/>
    <w:rsid w:val="003A739B"/>
    <w:rsid w:val="003B0F60"/>
    <w:rsid w:val="003B140A"/>
    <w:rsid w:val="003B2427"/>
    <w:rsid w:val="003B2539"/>
    <w:rsid w:val="003B3A14"/>
    <w:rsid w:val="003B4201"/>
    <w:rsid w:val="003B5622"/>
    <w:rsid w:val="003B6068"/>
    <w:rsid w:val="003B60B2"/>
    <w:rsid w:val="003B6561"/>
    <w:rsid w:val="003B6E69"/>
    <w:rsid w:val="003B72AE"/>
    <w:rsid w:val="003B7E0B"/>
    <w:rsid w:val="003C07FA"/>
    <w:rsid w:val="003C0927"/>
    <w:rsid w:val="003C1B87"/>
    <w:rsid w:val="003C1F32"/>
    <w:rsid w:val="003C4901"/>
    <w:rsid w:val="003C4BF8"/>
    <w:rsid w:val="003C51FA"/>
    <w:rsid w:val="003C5A46"/>
    <w:rsid w:val="003C76D5"/>
    <w:rsid w:val="003C78AB"/>
    <w:rsid w:val="003D0912"/>
    <w:rsid w:val="003D0C59"/>
    <w:rsid w:val="003D101B"/>
    <w:rsid w:val="003D1477"/>
    <w:rsid w:val="003D18B3"/>
    <w:rsid w:val="003D4401"/>
    <w:rsid w:val="003D464E"/>
    <w:rsid w:val="003D48EC"/>
    <w:rsid w:val="003D4F29"/>
    <w:rsid w:val="003D55FE"/>
    <w:rsid w:val="003D5865"/>
    <w:rsid w:val="003D6CC9"/>
    <w:rsid w:val="003D733D"/>
    <w:rsid w:val="003D7D83"/>
    <w:rsid w:val="003E1886"/>
    <w:rsid w:val="003E20B9"/>
    <w:rsid w:val="003E4E28"/>
    <w:rsid w:val="003E5854"/>
    <w:rsid w:val="003E5BEC"/>
    <w:rsid w:val="003E5F93"/>
    <w:rsid w:val="003E6B32"/>
    <w:rsid w:val="003E78DB"/>
    <w:rsid w:val="003F02D3"/>
    <w:rsid w:val="003F0CB5"/>
    <w:rsid w:val="003F0F81"/>
    <w:rsid w:val="003F11A7"/>
    <w:rsid w:val="003F19DE"/>
    <w:rsid w:val="003F2A60"/>
    <w:rsid w:val="003F2CBF"/>
    <w:rsid w:val="003F33FE"/>
    <w:rsid w:val="003F5A8F"/>
    <w:rsid w:val="003F5B35"/>
    <w:rsid w:val="003F5CDC"/>
    <w:rsid w:val="003F69E8"/>
    <w:rsid w:val="003F6A00"/>
    <w:rsid w:val="003F6AD0"/>
    <w:rsid w:val="003F7253"/>
    <w:rsid w:val="003F78CF"/>
    <w:rsid w:val="003F7AB7"/>
    <w:rsid w:val="003F7F7E"/>
    <w:rsid w:val="00400D13"/>
    <w:rsid w:val="00400E20"/>
    <w:rsid w:val="00401281"/>
    <w:rsid w:val="0040169F"/>
    <w:rsid w:val="004030E0"/>
    <w:rsid w:val="0040315A"/>
    <w:rsid w:val="00403D52"/>
    <w:rsid w:val="004042D2"/>
    <w:rsid w:val="004047F1"/>
    <w:rsid w:val="00405376"/>
    <w:rsid w:val="004054CE"/>
    <w:rsid w:val="004059E7"/>
    <w:rsid w:val="00407178"/>
    <w:rsid w:val="00410C01"/>
    <w:rsid w:val="00411129"/>
    <w:rsid w:val="00411F0E"/>
    <w:rsid w:val="004120FA"/>
    <w:rsid w:val="00412355"/>
    <w:rsid w:val="004127A1"/>
    <w:rsid w:val="00412AFB"/>
    <w:rsid w:val="00412B62"/>
    <w:rsid w:val="00412CE7"/>
    <w:rsid w:val="00413AB9"/>
    <w:rsid w:val="0041409C"/>
    <w:rsid w:val="004140A4"/>
    <w:rsid w:val="004143A4"/>
    <w:rsid w:val="00414656"/>
    <w:rsid w:val="0041618C"/>
    <w:rsid w:val="00417126"/>
    <w:rsid w:val="00417896"/>
    <w:rsid w:val="0042185C"/>
    <w:rsid w:val="0042268A"/>
    <w:rsid w:val="004228B1"/>
    <w:rsid w:val="00422A6F"/>
    <w:rsid w:val="0042318F"/>
    <w:rsid w:val="00424994"/>
    <w:rsid w:val="00424E5B"/>
    <w:rsid w:val="004250A3"/>
    <w:rsid w:val="004269C3"/>
    <w:rsid w:val="00427890"/>
    <w:rsid w:val="00427B09"/>
    <w:rsid w:val="00430446"/>
    <w:rsid w:val="00431220"/>
    <w:rsid w:val="00431696"/>
    <w:rsid w:val="00431A32"/>
    <w:rsid w:val="00431A82"/>
    <w:rsid w:val="00431CB2"/>
    <w:rsid w:val="00431ED2"/>
    <w:rsid w:val="0043206C"/>
    <w:rsid w:val="0043327A"/>
    <w:rsid w:val="004349F3"/>
    <w:rsid w:val="00434BA6"/>
    <w:rsid w:val="00435828"/>
    <w:rsid w:val="00436B86"/>
    <w:rsid w:val="0044081B"/>
    <w:rsid w:val="004415A1"/>
    <w:rsid w:val="004415ED"/>
    <w:rsid w:val="00441A7C"/>
    <w:rsid w:val="00443067"/>
    <w:rsid w:val="004447B0"/>
    <w:rsid w:val="00444985"/>
    <w:rsid w:val="00445D73"/>
    <w:rsid w:val="0044684C"/>
    <w:rsid w:val="00447A1B"/>
    <w:rsid w:val="00447D8F"/>
    <w:rsid w:val="0045026E"/>
    <w:rsid w:val="0045027A"/>
    <w:rsid w:val="00450839"/>
    <w:rsid w:val="00451FCA"/>
    <w:rsid w:val="0045226B"/>
    <w:rsid w:val="00452A2A"/>
    <w:rsid w:val="00453200"/>
    <w:rsid w:val="00455D3F"/>
    <w:rsid w:val="0045655E"/>
    <w:rsid w:val="004635F1"/>
    <w:rsid w:val="00463630"/>
    <w:rsid w:val="00463AAE"/>
    <w:rsid w:val="004647B9"/>
    <w:rsid w:val="00464B78"/>
    <w:rsid w:val="0046567B"/>
    <w:rsid w:val="00465BA6"/>
    <w:rsid w:val="004677AB"/>
    <w:rsid w:val="004707F5"/>
    <w:rsid w:val="00471A3A"/>
    <w:rsid w:val="00474227"/>
    <w:rsid w:val="00474971"/>
    <w:rsid w:val="00474B18"/>
    <w:rsid w:val="00475ABB"/>
    <w:rsid w:val="00475EB5"/>
    <w:rsid w:val="004765AD"/>
    <w:rsid w:val="00476C54"/>
    <w:rsid w:val="004771FB"/>
    <w:rsid w:val="004776C1"/>
    <w:rsid w:val="00477EBB"/>
    <w:rsid w:val="00477F8F"/>
    <w:rsid w:val="00480568"/>
    <w:rsid w:val="004809DA"/>
    <w:rsid w:val="00480C78"/>
    <w:rsid w:val="0048236E"/>
    <w:rsid w:val="00483940"/>
    <w:rsid w:val="00483B3B"/>
    <w:rsid w:val="00484BF8"/>
    <w:rsid w:val="00487778"/>
    <w:rsid w:val="00491DE3"/>
    <w:rsid w:val="0049206A"/>
    <w:rsid w:val="004924E1"/>
    <w:rsid w:val="00492CD6"/>
    <w:rsid w:val="00492E77"/>
    <w:rsid w:val="00493260"/>
    <w:rsid w:val="00493FB5"/>
    <w:rsid w:val="00494042"/>
    <w:rsid w:val="00494334"/>
    <w:rsid w:val="0049493A"/>
    <w:rsid w:val="004950A8"/>
    <w:rsid w:val="00497AAA"/>
    <w:rsid w:val="00497C3F"/>
    <w:rsid w:val="00497C79"/>
    <w:rsid w:val="004A0129"/>
    <w:rsid w:val="004A0F92"/>
    <w:rsid w:val="004A114E"/>
    <w:rsid w:val="004A2951"/>
    <w:rsid w:val="004A3D0F"/>
    <w:rsid w:val="004A45B0"/>
    <w:rsid w:val="004A4BF8"/>
    <w:rsid w:val="004A4FF0"/>
    <w:rsid w:val="004A614F"/>
    <w:rsid w:val="004A64BB"/>
    <w:rsid w:val="004A6964"/>
    <w:rsid w:val="004A6C14"/>
    <w:rsid w:val="004A6EEA"/>
    <w:rsid w:val="004A72E1"/>
    <w:rsid w:val="004A7A22"/>
    <w:rsid w:val="004B0560"/>
    <w:rsid w:val="004B076D"/>
    <w:rsid w:val="004B0E32"/>
    <w:rsid w:val="004B154C"/>
    <w:rsid w:val="004B25E8"/>
    <w:rsid w:val="004B2B8B"/>
    <w:rsid w:val="004B3C72"/>
    <w:rsid w:val="004B53A0"/>
    <w:rsid w:val="004B54D6"/>
    <w:rsid w:val="004B6584"/>
    <w:rsid w:val="004B78B0"/>
    <w:rsid w:val="004B7C73"/>
    <w:rsid w:val="004B7E89"/>
    <w:rsid w:val="004C24A4"/>
    <w:rsid w:val="004C3418"/>
    <w:rsid w:val="004C3563"/>
    <w:rsid w:val="004C3C71"/>
    <w:rsid w:val="004C45ED"/>
    <w:rsid w:val="004C46E7"/>
    <w:rsid w:val="004C6AE2"/>
    <w:rsid w:val="004C6E70"/>
    <w:rsid w:val="004C6F73"/>
    <w:rsid w:val="004C7359"/>
    <w:rsid w:val="004C79A7"/>
    <w:rsid w:val="004D0659"/>
    <w:rsid w:val="004D06BB"/>
    <w:rsid w:val="004D0E65"/>
    <w:rsid w:val="004D1322"/>
    <w:rsid w:val="004D2361"/>
    <w:rsid w:val="004D280D"/>
    <w:rsid w:val="004D2D1D"/>
    <w:rsid w:val="004D34DA"/>
    <w:rsid w:val="004D5B71"/>
    <w:rsid w:val="004E0269"/>
    <w:rsid w:val="004E0CE2"/>
    <w:rsid w:val="004E1107"/>
    <w:rsid w:val="004E126D"/>
    <w:rsid w:val="004E154C"/>
    <w:rsid w:val="004E1AE7"/>
    <w:rsid w:val="004E1B33"/>
    <w:rsid w:val="004E25DB"/>
    <w:rsid w:val="004E4102"/>
    <w:rsid w:val="004E4368"/>
    <w:rsid w:val="004E5D28"/>
    <w:rsid w:val="004E6DE5"/>
    <w:rsid w:val="004E77B7"/>
    <w:rsid w:val="004E7D55"/>
    <w:rsid w:val="004F05E9"/>
    <w:rsid w:val="004F15EB"/>
    <w:rsid w:val="004F1ECA"/>
    <w:rsid w:val="004F44B5"/>
    <w:rsid w:val="004F4A05"/>
    <w:rsid w:val="004F514F"/>
    <w:rsid w:val="004F5176"/>
    <w:rsid w:val="004F54DE"/>
    <w:rsid w:val="004F5FAD"/>
    <w:rsid w:val="004F7A67"/>
    <w:rsid w:val="00500AA9"/>
    <w:rsid w:val="005019CF"/>
    <w:rsid w:val="00501B32"/>
    <w:rsid w:val="00502136"/>
    <w:rsid w:val="00503868"/>
    <w:rsid w:val="00503B1C"/>
    <w:rsid w:val="00503E50"/>
    <w:rsid w:val="00503FE9"/>
    <w:rsid w:val="00506C2A"/>
    <w:rsid w:val="00506C72"/>
    <w:rsid w:val="005074CF"/>
    <w:rsid w:val="005106F8"/>
    <w:rsid w:val="00510A85"/>
    <w:rsid w:val="00511C4F"/>
    <w:rsid w:val="005120A2"/>
    <w:rsid w:val="0051305B"/>
    <w:rsid w:val="005137FA"/>
    <w:rsid w:val="00513B09"/>
    <w:rsid w:val="00514750"/>
    <w:rsid w:val="00514755"/>
    <w:rsid w:val="005148EC"/>
    <w:rsid w:val="00514CB9"/>
    <w:rsid w:val="00515573"/>
    <w:rsid w:val="005157A5"/>
    <w:rsid w:val="00515E70"/>
    <w:rsid w:val="00516AF1"/>
    <w:rsid w:val="00516D60"/>
    <w:rsid w:val="00516F40"/>
    <w:rsid w:val="00517FD3"/>
    <w:rsid w:val="005205AE"/>
    <w:rsid w:val="00521CD9"/>
    <w:rsid w:val="00522AEF"/>
    <w:rsid w:val="005249CF"/>
    <w:rsid w:val="00524FBC"/>
    <w:rsid w:val="0052626F"/>
    <w:rsid w:val="005269E2"/>
    <w:rsid w:val="0052723A"/>
    <w:rsid w:val="005278B5"/>
    <w:rsid w:val="00527A49"/>
    <w:rsid w:val="00530E47"/>
    <w:rsid w:val="00531356"/>
    <w:rsid w:val="0053152A"/>
    <w:rsid w:val="00532A36"/>
    <w:rsid w:val="005348C8"/>
    <w:rsid w:val="00534A50"/>
    <w:rsid w:val="0053539E"/>
    <w:rsid w:val="0053683E"/>
    <w:rsid w:val="00536A2A"/>
    <w:rsid w:val="00536ECA"/>
    <w:rsid w:val="0054042D"/>
    <w:rsid w:val="00541CA8"/>
    <w:rsid w:val="0054240B"/>
    <w:rsid w:val="00543C8A"/>
    <w:rsid w:val="0054509B"/>
    <w:rsid w:val="0054509C"/>
    <w:rsid w:val="0054622E"/>
    <w:rsid w:val="00546455"/>
    <w:rsid w:val="00547CF1"/>
    <w:rsid w:val="005515D3"/>
    <w:rsid w:val="0055212E"/>
    <w:rsid w:val="00553A33"/>
    <w:rsid w:val="00553E1F"/>
    <w:rsid w:val="00554804"/>
    <w:rsid w:val="00554ADF"/>
    <w:rsid w:val="00555414"/>
    <w:rsid w:val="0055629F"/>
    <w:rsid w:val="00557C7D"/>
    <w:rsid w:val="00557E35"/>
    <w:rsid w:val="00557E39"/>
    <w:rsid w:val="00560520"/>
    <w:rsid w:val="0056065A"/>
    <w:rsid w:val="005607C1"/>
    <w:rsid w:val="00560911"/>
    <w:rsid w:val="00560EEF"/>
    <w:rsid w:val="0056251D"/>
    <w:rsid w:val="005633C4"/>
    <w:rsid w:val="0056345A"/>
    <w:rsid w:val="00566116"/>
    <w:rsid w:val="005661A2"/>
    <w:rsid w:val="0056718F"/>
    <w:rsid w:val="00567237"/>
    <w:rsid w:val="00567FD0"/>
    <w:rsid w:val="0057082A"/>
    <w:rsid w:val="005710CA"/>
    <w:rsid w:val="00572B06"/>
    <w:rsid w:val="00574147"/>
    <w:rsid w:val="005757B6"/>
    <w:rsid w:val="0057584E"/>
    <w:rsid w:val="00576C83"/>
    <w:rsid w:val="00576DE9"/>
    <w:rsid w:val="005771DC"/>
    <w:rsid w:val="00581023"/>
    <w:rsid w:val="005813B9"/>
    <w:rsid w:val="005818F5"/>
    <w:rsid w:val="00582735"/>
    <w:rsid w:val="00583D9E"/>
    <w:rsid w:val="00584669"/>
    <w:rsid w:val="00585BBE"/>
    <w:rsid w:val="005869B0"/>
    <w:rsid w:val="00586D72"/>
    <w:rsid w:val="00587EB2"/>
    <w:rsid w:val="00590009"/>
    <w:rsid w:val="005902A5"/>
    <w:rsid w:val="00590A56"/>
    <w:rsid w:val="00591CC3"/>
    <w:rsid w:val="00592883"/>
    <w:rsid w:val="005929A7"/>
    <w:rsid w:val="005957B3"/>
    <w:rsid w:val="005959E0"/>
    <w:rsid w:val="005972D8"/>
    <w:rsid w:val="005A0B9A"/>
    <w:rsid w:val="005A15CE"/>
    <w:rsid w:val="005A1BFD"/>
    <w:rsid w:val="005A1F42"/>
    <w:rsid w:val="005A2268"/>
    <w:rsid w:val="005A4BF3"/>
    <w:rsid w:val="005A5CF3"/>
    <w:rsid w:val="005A6F3A"/>
    <w:rsid w:val="005A7041"/>
    <w:rsid w:val="005A7FFA"/>
    <w:rsid w:val="005B0377"/>
    <w:rsid w:val="005B04B6"/>
    <w:rsid w:val="005B0641"/>
    <w:rsid w:val="005B19E8"/>
    <w:rsid w:val="005B1E66"/>
    <w:rsid w:val="005B201B"/>
    <w:rsid w:val="005B318A"/>
    <w:rsid w:val="005B32EB"/>
    <w:rsid w:val="005B3BEB"/>
    <w:rsid w:val="005B3DAB"/>
    <w:rsid w:val="005B762D"/>
    <w:rsid w:val="005B788C"/>
    <w:rsid w:val="005C1B17"/>
    <w:rsid w:val="005C3F0B"/>
    <w:rsid w:val="005C538C"/>
    <w:rsid w:val="005C6823"/>
    <w:rsid w:val="005C6C37"/>
    <w:rsid w:val="005C6E3E"/>
    <w:rsid w:val="005C77E6"/>
    <w:rsid w:val="005D052B"/>
    <w:rsid w:val="005D0F8E"/>
    <w:rsid w:val="005D1522"/>
    <w:rsid w:val="005D30E2"/>
    <w:rsid w:val="005D32C0"/>
    <w:rsid w:val="005D4037"/>
    <w:rsid w:val="005D40D0"/>
    <w:rsid w:val="005D44EA"/>
    <w:rsid w:val="005D4CCB"/>
    <w:rsid w:val="005D4E98"/>
    <w:rsid w:val="005D6FD6"/>
    <w:rsid w:val="005D76E2"/>
    <w:rsid w:val="005D7BAF"/>
    <w:rsid w:val="005E0287"/>
    <w:rsid w:val="005E0425"/>
    <w:rsid w:val="005E0F23"/>
    <w:rsid w:val="005E1170"/>
    <w:rsid w:val="005E12C7"/>
    <w:rsid w:val="005E2264"/>
    <w:rsid w:val="005E389B"/>
    <w:rsid w:val="005E5D33"/>
    <w:rsid w:val="005E67EA"/>
    <w:rsid w:val="005E6875"/>
    <w:rsid w:val="005E6B12"/>
    <w:rsid w:val="005E7B35"/>
    <w:rsid w:val="005F05D7"/>
    <w:rsid w:val="005F0860"/>
    <w:rsid w:val="005F0C8A"/>
    <w:rsid w:val="005F26CE"/>
    <w:rsid w:val="005F3515"/>
    <w:rsid w:val="005F52BA"/>
    <w:rsid w:val="005F5564"/>
    <w:rsid w:val="005F64DB"/>
    <w:rsid w:val="005F69F5"/>
    <w:rsid w:val="005F770E"/>
    <w:rsid w:val="005F7B07"/>
    <w:rsid w:val="00600C26"/>
    <w:rsid w:val="00600F0D"/>
    <w:rsid w:val="00601609"/>
    <w:rsid w:val="00601F24"/>
    <w:rsid w:val="006023E3"/>
    <w:rsid w:val="0060300F"/>
    <w:rsid w:val="006037BB"/>
    <w:rsid w:val="00604611"/>
    <w:rsid w:val="00604728"/>
    <w:rsid w:val="00606816"/>
    <w:rsid w:val="00606BDE"/>
    <w:rsid w:val="0061045F"/>
    <w:rsid w:val="00610B89"/>
    <w:rsid w:val="00610E07"/>
    <w:rsid w:val="00611042"/>
    <w:rsid w:val="0061172E"/>
    <w:rsid w:val="00613880"/>
    <w:rsid w:val="00613AA7"/>
    <w:rsid w:val="00613B99"/>
    <w:rsid w:val="00613EA7"/>
    <w:rsid w:val="00614A59"/>
    <w:rsid w:val="00616AAC"/>
    <w:rsid w:val="006170C1"/>
    <w:rsid w:val="0062043D"/>
    <w:rsid w:val="00620914"/>
    <w:rsid w:val="00621C13"/>
    <w:rsid w:val="00621C61"/>
    <w:rsid w:val="006222C9"/>
    <w:rsid w:val="0062290B"/>
    <w:rsid w:val="00623600"/>
    <w:rsid w:val="006254DD"/>
    <w:rsid w:val="006255A5"/>
    <w:rsid w:val="00625812"/>
    <w:rsid w:val="00626C01"/>
    <w:rsid w:val="006301D9"/>
    <w:rsid w:val="0063119F"/>
    <w:rsid w:val="00631846"/>
    <w:rsid w:val="0063260D"/>
    <w:rsid w:val="006327B9"/>
    <w:rsid w:val="00633B10"/>
    <w:rsid w:val="00633D8E"/>
    <w:rsid w:val="00633EA9"/>
    <w:rsid w:val="00633EED"/>
    <w:rsid w:val="00634825"/>
    <w:rsid w:val="00634F8D"/>
    <w:rsid w:val="0063500A"/>
    <w:rsid w:val="00635865"/>
    <w:rsid w:val="00643F89"/>
    <w:rsid w:val="0064591D"/>
    <w:rsid w:val="00645BF2"/>
    <w:rsid w:val="00645C03"/>
    <w:rsid w:val="006469AB"/>
    <w:rsid w:val="0064773A"/>
    <w:rsid w:val="0065023D"/>
    <w:rsid w:val="006509A6"/>
    <w:rsid w:val="006509C0"/>
    <w:rsid w:val="00651596"/>
    <w:rsid w:val="0065231B"/>
    <w:rsid w:val="0065264C"/>
    <w:rsid w:val="00653CBE"/>
    <w:rsid w:val="006541CA"/>
    <w:rsid w:val="006544E5"/>
    <w:rsid w:val="0065494C"/>
    <w:rsid w:val="00655398"/>
    <w:rsid w:val="00655408"/>
    <w:rsid w:val="00655F72"/>
    <w:rsid w:val="00656911"/>
    <w:rsid w:val="006576F2"/>
    <w:rsid w:val="006579A4"/>
    <w:rsid w:val="00657AC6"/>
    <w:rsid w:val="00660460"/>
    <w:rsid w:val="0066342E"/>
    <w:rsid w:val="00663834"/>
    <w:rsid w:val="006645AC"/>
    <w:rsid w:val="00664DE4"/>
    <w:rsid w:val="00665F9D"/>
    <w:rsid w:val="0066617B"/>
    <w:rsid w:val="0066784B"/>
    <w:rsid w:val="00667C8A"/>
    <w:rsid w:val="00670501"/>
    <w:rsid w:val="00670925"/>
    <w:rsid w:val="00670974"/>
    <w:rsid w:val="00670FC3"/>
    <w:rsid w:val="006711DA"/>
    <w:rsid w:val="00672FDB"/>
    <w:rsid w:val="0067320A"/>
    <w:rsid w:val="0067418F"/>
    <w:rsid w:val="00674BAE"/>
    <w:rsid w:val="00675728"/>
    <w:rsid w:val="00675B67"/>
    <w:rsid w:val="00675FE7"/>
    <w:rsid w:val="0067641D"/>
    <w:rsid w:val="00677440"/>
    <w:rsid w:val="00680614"/>
    <w:rsid w:val="00681296"/>
    <w:rsid w:val="006812CC"/>
    <w:rsid w:val="00681418"/>
    <w:rsid w:val="006819C5"/>
    <w:rsid w:val="00682076"/>
    <w:rsid w:val="00682F0F"/>
    <w:rsid w:val="00684F9F"/>
    <w:rsid w:val="00684FB4"/>
    <w:rsid w:val="006852A7"/>
    <w:rsid w:val="00686272"/>
    <w:rsid w:val="006872E6"/>
    <w:rsid w:val="00687593"/>
    <w:rsid w:val="006877F4"/>
    <w:rsid w:val="00691042"/>
    <w:rsid w:val="00691D40"/>
    <w:rsid w:val="00691DE6"/>
    <w:rsid w:val="00692386"/>
    <w:rsid w:val="0069326C"/>
    <w:rsid w:val="00693732"/>
    <w:rsid w:val="00695B4F"/>
    <w:rsid w:val="0069602E"/>
    <w:rsid w:val="006A00CA"/>
    <w:rsid w:val="006A0B90"/>
    <w:rsid w:val="006A15B9"/>
    <w:rsid w:val="006A1DA2"/>
    <w:rsid w:val="006A3E52"/>
    <w:rsid w:val="006A42AF"/>
    <w:rsid w:val="006A43EA"/>
    <w:rsid w:val="006A4C28"/>
    <w:rsid w:val="006A572A"/>
    <w:rsid w:val="006A6485"/>
    <w:rsid w:val="006B0A22"/>
    <w:rsid w:val="006B0CFF"/>
    <w:rsid w:val="006B0E0B"/>
    <w:rsid w:val="006B0F28"/>
    <w:rsid w:val="006B1795"/>
    <w:rsid w:val="006B26C0"/>
    <w:rsid w:val="006B301D"/>
    <w:rsid w:val="006B528E"/>
    <w:rsid w:val="006B5659"/>
    <w:rsid w:val="006B5C6F"/>
    <w:rsid w:val="006B6432"/>
    <w:rsid w:val="006B69B2"/>
    <w:rsid w:val="006B6C44"/>
    <w:rsid w:val="006B7011"/>
    <w:rsid w:val="006B70EB"/>
    <w:rsid w:val="006B79F2"/>
    <w:rsid w:val="006B7E13"/>
    <w:rsid w:val="006B7EE3"/>
    <w:rsid w:val="006C05FB"/>
    <w:rsid w:val="006C181E"/>
    <w:rsid w:val="006C3049"/>
    <w:rsid w:val="006C474E"/>
    <w:rsid w:val="006C4E94"/>
    <w:rsid w:val="006C4F10"/>
    <w:rsid w:val="006C7652"/>
    <w:rsid w:val="006D0301"/>
    <w:rsid w:val="006D0317"/>
    <w:rsid w:val="006D0A71"/>
    <w:rsid w:val="006D0BED"/>
    <w:rsid w:val="006D204A"/>
    <w:rsid w:val="006D20C6"/>
    <w:rsid w:val="006D20C7"/>
    <w:rsid w:val="006D2B59"/>
    <w:rsid w:val="006D2D20"/>
    <w:rsid w:val="006D2E83"/>
    <w:rsid w:val="006D2FC0"/>
    <w:rsid w:val="006D3023"/>
    <w:rsid w:val="006D3560"/>
    <w:rsid w:val="006D4941"/>
    <w:rsid w:val="006D4C00"/>
    <w:rsid w:val="006D695C"/>
    <w:rsid w:val="006E37E8"/>
    <w:rsid w:val="006E4585"/>
    <w:rsid w:val="006E45FA"/>
    <w:rsid w:val="006E4963"/>
    <w:rsid w:val="006E5232"/>
    <w:rsid w:val="006E63A6"/>
    <w:rsid w:val="006E66A6"/>
    <w:rsid w:val="006E6A4B"/>
    <w:rsid w:val="006F0122"/>
    <w:rsid w:val="006F05B8"/>
    <w:rsid w:val="006F161B"/>
    <w:rsid w:val="006F2119"/>
    <w:rsid w:val="006F2725"/>
    <w:rsid w:val="006F2899"/>
    <w:rsid w:val="006F35C3"/>
    <w:rsid w:val="006F3777"/>
    <w:rsid w:val="006F50B2"/>
    <w:rsid w:val="006F6198"/>
    <w:rsid w:val="006F7388"/>
    <w:rsid w:val="00700FD1"/>
    <w:rsid w:val="00703561"/>
    <w:rsid w:val="007037FC"/>
    <w:rsid w:val="0070529B"/>
    <w:rsid w:val="00705617"/>
    <w:rsid w:val="00705CE1"/>
    <w:rsid w:val="00707202"/>
    <w:rsid w:val="00707908"/>
    <w:rsid w:val="0071006F"/>
    <w:rsid w:val="0071078E"/>
    <w:rsid w:val="007107F5"/>
    <w:rsid w:val="00710B36"/>
    <w:rsid w:val="00711233"/>
    <w:rsid w:val="00711410"/>
    <w:rsid w:val="007118CA"/>
    <w:rsid w:val="00713B1C"/>
    <w:rsid w:val="00714138"/>
    <w:rsid w:val="00715042"/>
    <w:rsid w:val="00715955"/>
    <w:rsid w:val="00715EA0"/>
    <w:rsid w:val="00715FA0"/>
    <w:rsid w:val="00716EA3"/>
    <w:rsid w:val="0071724C"/>
    <w:rsid w:val="00717C87"/>
    <w:rsid w:val="007201E7"/>
    <w:rsid w:val="007202D6"/>
    <w:rsid w:val="00720F76"/>
    <w:rsid w:val="0072114F"/>
    <w:rsid w:val="00721351"/>
    <w:rsid w:val="00722081"/>
    <w:rsid w:val="007224ED"/>
    <w:rsid w:val="00724F59"/>
    <w:rsid w:val="00725F8D"/>
    <w:rsid w:val="0072642A"/>
    <w:rsid w:val="00726849"/>
    <w:rsid w:val="00726C1B"/>
    <w:rsid w:val="00726F20"/>
    <w:rsid w:val="0072730A"/>
    <w:rsid w:val="0072787B"/>
    <w:rsid w:val="00730107"/>
    <w:rsid w:val="007301EF"/>
    <w:rsid w:val="00730D8E"/>
    <w:rsid w:val="00733D26"/>
    <w:rsid w:val="00734E4D"/>
    <w:rsid w:val="007351E3"/>
    <w:rsid w:val="0073521A"/>
    <w:rsid w:val="0073592F"/>
    <w:rsid w:val="00735A68"/>
    <w:rsid w:val="00736715"/>
    <w:rsid w:val="00736A1E"/>
    <w:rsid w:val="0073735F"/>
    <w:rsid w:val="007373B4"/>
    <w:rsid w:val="00737E9D"/>
    <w:rsid w:val="0074298D"/>
    <w:rsid w:val="00743568"/>
    <w:rsid w:val="00743AB3"/>
    <w:rsid w:val="0074483A"/>
    <w:rsid w:val="00744CAE"/>
    <w:rsid w:val="00745595"/>
    <w:rsid w:val="00746A7B"/>
    <w:rsid w:val="00747FC0"/>
    <w:rsid w:val="00750BC8"/>
    <w:rsid w:val="00751149"/>
    <w:rsid w:val="007519E4"/>
    <w:rsid w:val="007520E8"/>
    <w:rsid w:val="00752796"/>
    <w:rsid w:val="007537F0"/>
    <w:rsid w:val="00753FB5"/>
    <w:rsid w:val="00754622"/>
    <w:rsid w:val="00755BCE"/>
    <w:rsid w:val="00755C81"/>
    <w:rsid w:val="00756CFB"/>
    <w:rsid w:val="00760717"/>
    <w:rsid w:val="0076104F"/>
    <w:rsid w:val="0076110E"/>
    <w:rsid w:val="00761ABF"/>
    <w:rsid w:val="007623C2"/>
    <w:rsid w:val="00765F7A"/>
    <w:rsid w:val="00767535"/>
    <w:rsid w:val="007677A2"/>
    <w:rsid w:val="00767B0C"/>
    <w:rsid w:val="007708FF"/>
    <w:rsid w:val="0077156E"/>
    <w:rsid w:val="007715C8"/>
    <w:rsid w:val="0077179B"/>
    <w:rsid w:val="00771FF2"/>
    <w:rsid w:val="0077391E"/>
    <w:rsid w:val="00773B92"/>
    <w:rsid w:val="00773F40"/>
    <w:rsid w:val="00775017"/>
    <w:rsid w:val="00775458"/>
    <w:rsid w:val="00775D54"/>
    <w:rsid w:val="00777934"/>
    <w:rsid w:val="00780034"/>
    <w:rsid w:val="007808CA"/>
    <w:rsid w:val="007809FA"/>
    <w:rsid w:val="00781C98"/>
    <w:rsid w:val="0078344F"/>
    <w:rsid w:val="0078365F"/>
    <w:rsid w:val="00784003"/>
    <w:rsid w:val="00784591"/>
    <w:rsid w:val="00784A01"/>
    <w:rsid w:val="00784CB8"/>
    <w:rsid w:val="00784F8F"/>
    <w:rsid w:val="007858B0"/>
    <w:rsid w:val="00786087"/>
    <w:rsid w:val="007867CA"/>
    <w:rsid w:val="007868CE"/>
    <w:rsid w:val="00786ED0"/>
    <w:rsid w:val="00787795"/>
    <w:rsid w:val="00787E32"/>
    <w:rsid w:val="00791D90"/>
    <w:rsid w:val="00791F06"/>
    <w:rsid w:val="0079397B"/>
    <w:rsid w:val="007941CB"/>
    <w:rsid w:val="007A01D8"/>
    <w:rsid w:val="007A1327"/>
    <w:rsid w:val="007A1CF4"/>
    <w:rsid w:val="007A1DA9"/>
    <w:rsid w:val="007A2950"/>
    <w:rsid w:val="007A2CFA"/>
    <w:rsid w:val="007A3700"/>
    <w:rsid w:val="007A3C8E"/>
    <w:rsid w:val="007A447F"/>
    <w:rsid w:val="007A45AD"/>
    <w:rsid w:val="007A4E4B"/>
    <w:rsid w:val="007A53A0"/>
    <w:rsid w:val="007A58FF"/>
    <w:rsid w:val="007A618F"/>
    <w:rsid w:val="007A63B1"/>
    <w:rsid w:val="007A6BE1"/>
    <w:rsid w:val="007A6DC9"/>
    <w:rsid w:val="007A6ED2"/>
    <w:rsid w:val="007A7906"/>
    <w:rsid w:val="007B0414"/>
    <w:rsid w:val="007B0BBE"/>
    <w:rsid w:val="007B13F9"/>
    <w:rsid w:val="007B182B"/>
    <w:rsid w:val="007B1CE2"/>
    <w:rsid w:val="007B1F6C"/>
    <w:rsid w:val="007B2428"/>
    <w:rsid w:val="007B2DA7"/>
    <w:rsid w:val="007B33B6"/>
    <w:rsid w:val="007B34AB"/>
    <w:rsid w:val="007B3643"/>
    <w:rsid w:val="007B3CBF"/>
    <w:rsid w:val="007B4963"/>
    <w:rsid w:val="007B5045"/>
    <w:rsid w:val="007B6417"/>
    <w:rsid w:val="007C024E"/>
    <w:rsid w:val="007C1774"/>
    <w:rsid w:val="007C186A"/>
    <w:rsid w:val="007C1B59"/>
    <w:rsid w:val="007C1E7E"/>
    <w:rsid w:val="007C3017"/>
    <w:rsid w:val="007C32B3"/>
    <w:rsid w:val="007C4363"/>
    <w:rsid w:val="007C50AD"/>
    <w:rsid w:val="007C5800"/>
    <w:rsid w:val="007C5B1F"/>
    <w:rsid w:val="007C61AA"/>
    <w:rsid w:val="007C6A24"/>
    <w:rsid w:val="007C6D15"/>
    <w:rsid w:val="007C6D54"/>
    <w:rsid w:val="007C7562"/>
    <w:rsid w:val="007C7844"/>
    <w:rsid w:val="007C7CEE"/>
    <w:rsid w:val="007C7F20"/>
    <w:rsid w:val="007D07F9"/>
    <w:rsid w:val="007D0916"/>
    <w:rsid w:val="007D1DBC"/>
    <w:rsid w:val="007D1EFE"/>
    <w:rsid w:val="007D28C4"/>
    <w:rsid w:val="007D2F3D"/>
    <w:rsid w:val="007D3A5D"/>
    <w:rsid w:val="007D44CB"/>
    <w:rsid w:val="007D5401"/>
    <w:rsid w:val="007D5DD5"/>
    <w:rsid w:val="007D74A1"/>
    <w:rsid w:val="007D7DAA"/>
    <w:rsid w:val="007E06A7"/>
    <w:rsid w:val="007E0E1C"/>
    <w:rsid w:val="007E1145"/>
    <w:rsid w:val="007E1649"/>
    <w:rsid w:val="007E2589"/>
    <w:rsid w:val="007E42FE"/>
    <w:rsid w:val="007E445B"/>
    <w:rsid w:val="007E457F"/>
    <w:rsid w:val="007E4C96"/>
    <w:rsid w:val="007F010E"/>
    <w:rsid w:val="007F0811"/>
    <w:rsid w:val="007F0F48"/>
    <w:rsid w:val="007F1468"/>
    <w:rsid w:val="007F224C"/>
    <w:rsid w:val="007F4342"/>
    <w:rsid w:val="007F437C"/>
    <w:rsid w:val="007F46ED"/>
    <w:rsid w:val="007F5A30"/>
    <w:rsid w:val="007F5E5B"/>
    <w:rsid w:val="007F6602"/>
    <w:rsid w:val="00800636"/>
    <w:rsid w:val="00800C6C"/>
    <w:rsid w:val="008015AD"/>
    <w:rsid w:val="0080229F"/>
    <w:rsid w:val="008025DA"/>
    <w:rsid w:val="00802E74"/>
    <w:rsid w:val="008040E3"/>
    <w:rsid w:val="008042A0"/>
    <w:rsid w:val="00804731"/>
    <w:rsid w:val="00804763"/>
    <w:rsid w:val="008051DA"/>
    <w:rsid w:val="00805A6E"/>
    <w:rsid w:val="00807772"/>
    <w:rsid w:val="00810330"/>
    <w:rsid w:val="00810F96"/>
    <w:rsid w:val="00812969"/>
    <w:rsid w:val="00813DF4"/>
    <w:rsid w:val="0081436A"/>
    <w:rsid w:val="008150B8"/>
    <w:rsid w:val="00816B2B"/>
    <w:rsid w:val="00816CDC"/>
    <w:rsid w:val="00817D39"/>
    <w:rsid w:val="0082012F"/>
    <w:rsid w:val="00821345"/>
    <w:rsid w:val="00821ADA"/>
    <w:rsid w:val="008227FF"/>
    <w:rsid w:val="0082321F"/>
    <w:rsid w:val="008235AD"/>
    <w:rsid w:val="00823C64"/>
    <w:rsid w:val="00824DD1"/>
    <w:rsid w:val="00825DC6"/>
    <w:rsid w:val="008270D9"/>
    <w:rsid w:val="008279DC"/>
    <w:rsid w:val="00827ACA"/>
    <w:rsid w:val="00830926"/>
    <w:rsid w:val="00831228"/>
    <w:rsid w:val="00831551"/>
    <w:rsid w:val="0083175F"/>
    <w:rsid w:val="008322A7"/>
    <w:rsid w:val="008326CE"/>
    <w:rsid w:val="008342DB"/>
    <w:rsid w:val="00834950"/>
    <w:rsid w:val="00834D66"/>
    <w:rsid w:val="00834E81"/>
    <w:rsid w:val="0083628B"/>
    <w:rsid w:val="00836984"/>
    <w:rsid w:val="00836AC4"/>
    <w:rsid w:val="00837195"/>
    <w:rsid w:val="00837361"/>
    <w:rsid w:val="00837591"/>
    <w:rsid w:val="00837732"/>
    <w:rsid w:val="00840180"/>
    <w:rsid w:val="008401E6"/>
    <w:rsid w:val="00841CE8"/>
    <w:rsid w:val="00843230"/>
    <w:rsid w:val="0084336E"/>
    <w:rsid w:val="00844305"/>
    <w:rsid w:val="0084545F"/>
    <w:rsid w:val="00845FFF"/>
    <w:rsid w:val="008461C6"/>
    <w:rsid w:val="0084628F"/>
    <w:rsid w:val="00846E46"/>
    <w:rsid w:val="00847311"/>
    <w:rsid w:val="00850427"/>
    <w:rsid w:val="008505C4"/>
    <w:rsid w:val="00850CC6"/>
    <w:rsid w:val="00851DBF"/>
    <w:rsid w:val="00851EF0"/>
    <w:rsid w:val="00852008"/>
    <w:rsid w:val="00852159"/>
    <w:rsid w:val="00852599"/>
    <w:rsid w:val="00852BDB"/>
    <w:rsid w:val="00853CA3"/>
    <w:rsid w:val="00853FB9"/>
    <w:rsid w:val="0085431B"/>
    <w:rsid w:val="00855CD6"/>
    <w:rsid w:val="008567D4"/>
    <w:rsid w:val="0085700F"/>
    <w:rsid w:val="00860BF5"/>
    <w:rsid w:val="00860EEF"/>
    <w:rsid w:val="0086154A"/>
    <w:rsid w:val="00861B45"/>
    <w:rsid w:val="00861C17"/>
    <w:rsid w:val="0086287F"/>
    <w:rsid w:val="00864510"/>
    <w:rsid w:val="0086618A"/>
    <w:rsid w:val="00867CB3"/>
    <w:rsid w:val="00867E35"/>
    <w:rsid w:val="008704B8"/>
    <w:rsid w:val="00870585"/>
    <w:rsid w:val="008714F0"/>
    <w:rsid w:val="00871585"/>
    <w:rsid w:val="00871A17"/>
    <w:rsid w:val="00872144"/>
    <w:rsid w:val="00872DD4"/>
    <w:rsid w:val="00873EC5"/>
    <w:rsid w:val="00875597"/>
    <w:rsid w:val="00875CA1"/>
    <w:rsid w:val="0087631C"/>
    <w:rsid w:val="008766B1"/>
    <w:rsid w:val="008775D8"/>
    <w:rsid w:val="00881811"/>
    <w:rsid w:val="00881D4F"/>
    <w:rsid w:val="008822D9"/>
    <w:rsid w:val="00882579"/>
    <w:rsid w:val="00883940"/>
    <w:rsid w:val="00883965"/>
    <w:rsid w:val="00884F23"/>
    <w:rsid w:val="008871BD"/>
    <w:rsid w:val="00887376"/>
    <w:rsid w:val="00891A3A"/>
    <w:rsid w:val="00893069"/>
    <w:rsid w:val="0089326E"/>
    <w:rsid w:val="008937AB"/>
    <w:rsid w:val="00894064"/>
    <w:rsid w:val="008942B1"/>
    <w:rsid w:val="00894310"/>
    <w:rsid w:val="00894439"/>
    <w:rsid w:val="008961AB"/>
    <w:rsid w:val="00896223"/>
    <w:rsid w:val="0089677B"/>
    <w:rsid w:val="008969C7"/>
    <w:rsid w:val="008970CD"/>
    <w:rsid w:val="008A08B9"/>
    <w:rsid w:val="008A0C35"/>
    <w:rsid w:val="008A1597"/>
    <w:rsid w:val="008A1692"/>
    <w:rsid w:val="008A21F0"/>
    <w:rsid w:val="008A2396"/>
    <w:rsid w:val="008A26DD"/>
    <w:rsid w:val="008A276E"/>
    <w:rsid w:val="008A2FF9"/>
    <w:rsid w:val="008A3F08"/>
    <w:rsid w:val="008A3F0D"/>
    <w:rsid w:val="008A4322"/>
    <w:rsid w:val="008A4D90"/>
    <w:rsid w:val="008A555D"/>
    <w:rsid w:val="008A58F2"/>
    <w:rsid w:val="008A5A58"/>
    <w:rsid w:val="008A5C25"/>
    <w:rsid w:val="008A6092"/>
    <w:rsid w:val="008A79F7"/>
    <w:rsid w:val="008A7FF8"/>
    <w:rsid w:val="008B2303"/>
    <w:rsid w:val="008B3094"/>
    <w:rsid w:val="008B3264"/>
    <w:rsid w:val="008B335B"/>
    <w:rsid w:val="008B35D1"/>
    <w:rsid w:val="008B3673"/>
    <w:rsid w:val="008B3ACF"/>
    <w:rsid w:val="008B3EC1"/>
    <w:rsid w:val="008B4E4C"/>
    <w:rsid w:val="008B5C28"/>
    <w:rsid w:val="008B6778"/>
    <w:rsid w:val="008B6EA1"/>
    <w:rsid w:val="008C058C"/>
    <w:rsid w:val="008C0938"/>
    <w:rsid w:val="008C0DDC"/>
    <w:rsid w:val="008C19A5"/>
    <w:rsid w:val="008C1F97"/>
    <w:rsid w:val="008C237E"/>
    <w:rsid w:val="008C35B6"/>
    <w:rsid w:val="008C3958"/>
    <w:rsid w:val="008C4045"/>
    <w:rsid w:val="008C4525"/>
    <w:rsid w:val="008C5606"/>
    <w:rsid w:val="008C5853"/>
    <w:rsid w:val="008C6D65"/>
    <w:rsid w:val="008D046D"/>
    <w:rsid w:val="008D0909"/>
    <w:rsid w:val="008D20FA"/>
    <w:rsid w:val="008D2261"/>
    <w:rsid w:val="008D3180"/>
    <w:rsid w:val="008D37E6"/>
    <w:rsid w:val="008D4B7A"/>
    <w:rsid w:val="008D5780"/>
    <w:rsid w:val="008D62F5"/>
    <w:rsid w:val="008D6A24"/>
    <w:rsid w:val="008D6F2A"/>
    <w:rsid w:val="008D7632"/>
    <w:rsid w:val="008D7EC7"/>
    <w:rsid w:val="008E07E8"/>
    <w:rsid w:val="008E08FE"/>
    <w:rsid w:val="008E0E05"/>
    <w:rsid w:val="008E17F6"/>
    <w:rsid w:val="008E1B60"/>
    <w:rsid w:val="008E1FD3"/>
    <w:rsid w:val="008E1FE6"/>
    <w:rsid w:val="008E24AC"/>
    <w:rsid w:val="008E28C5"/>
    <w:rsid w:val="008E29B6"/>
    <w:rsid w:val="008E3428"/>
    <w:rsid w:val="008E3E2A"/>
    <w:rsid w:val="008E4BA8"/>
    <w:rsid w:val="008E5240"/>
    <w:rsid w:val="008E6322"/>
    <w:rsid w:val="008E64A7"/>
    <w:rsid w:val="008E6724"/>
    <w:rsid w:val="008F0D13"/>
    <w:rsid w:val="008F3A7A"/>
    <w:rsid w:val="008F41B5"/>
    <w:rsid w:val="008F522B"/>
    <w:rsid w:val="008F529F"/>
    <w:rsid w:val="008F597D"/>
    <w:rsid w:val="008F6636"/>
    <w:rsid w:val="008F68C8"/>
    <w:rsid w:val="008F7EE3"/>
    <w:rsid w:val="008F7FA4"/>
    <w:rsid w:val="00901721"/>
    <w:rsid w:val="00901E8C"/>
    <w:rsid w:val="00902DDD"/>
    <w:rsid w:val="00903557"/>
    <w:rsid w:val="009061DF"/>
    <w:rsid w:val="00906218"/>
    <w:rsid w:val="00906799"/>
    <w:rsid w:val="00906F26"/>
    <w:rsid w:val="00907246"/>
    <w:rsid w:val="00907CDA"/>
    <w:rsid w:val="009110AE"/>
    <w:rsid w:val="00911E5D"/>
    <w:rsid w:val="009121D4"/>
    <w:rsid w:val="0091266C"/>
    <w:rsid w:val="00914428"/>
    <w:rsid w:val="00915766"/>
    <w:rsid w:val="009161FD"/>
    <w:rsid w:val="00916C5A"/>
    <w:rsid w:val="00917C3E"/>
    <w:rsid w:val="00917F45"/>
    <w:rsid w:val="00920910"/>
    <w:rsid w:val="00922624"/>
    <w:rsid w:val="009233BE"/>
    <w:rsid w:val="00923A25"/>
    <w:rsid w:val="00923B02"/>
    <w:rsid w:val="0092487B"/>
    <w:rsid w:val="00925EE6"/>
    <w:rsid w:val="00926631"/>
    <w:rsid w:val="00926838"/>
    <w:rsid w:val="00926EE3"/>
    <w:rsid w:val="00930BF9"/>
    <w:rsid w:val="009331F0"/>
    <w:rsid w:val="0093351C"/>
    <w:rsid w:val="00934048"/>
    <w:rsid w:val="009367E4"/>
    <w:rsid w:val="009368F0"/>
    <w:rsid w:val="00936F7A"/>
    <w:rsid w:val="00937C40"/>
    <w:rsid w:val="009402E8"/>
    <w:rsid w:val="009413C8"/>
    <w:rsid w:val="009416BA"/>
    <w:rsid w:val="00942607"/>
    <w:rsid w:val="00942F4E"/>
    <w:rsid w:val="00945001"/>
    <w:rsid w:val="00945243"/>
    <w:rsid w:val="00946012"/>
    <w:rsid w:val="00947767"/>
    <w:rsid w:val="00950899"/>
    <w:rsid w:val="00950B50"/>
    <w:rsid w:val="00951BE6"/>
    <w:rsid w:val="00952124"/>
    <w:rsid w:val="00952144"/>
    <w:rsid w:val="009527C8"/>
    <w:rsid w:val="00952CBD"/>
    <w:rsid w:val="009537DD"/>
    <w:rsid w:val="009567B1"/>
    <w:rsid w:val="009577B6"/>
    <w:rsid w:val="00957D0C"/>
    <w:rsid w:val="00957D68"/>
    <w:rsid w:val="009627ED"/>
    <w:rsid w:val="00962DCC"/>
    <w:rsid w:val="009631F2"/>
    <w:rsid w:val="00963769"/>
    <w:rsid w:val="00963C10"/>
    <w:rsid w:val="00964E58"/>
    <w:rsid w:val="00965FDD"/>
    <w:rsid w:val="00967465"/>
    <w:rsid w:val="00967590"/>
    <w:rsid w:val="00967E01"/>
    <w:rsid w:val="00971366"/>
    <w:rsid w:val="00971404"/>
    <w:rsid w:val="00972E7D"/>
    <w:rsid w:val="00972F6F"/>
    <w:rsid w:val="009736B3"/>
    <w:rsid w:val="009753F5"/>
    <w:rsid w:val="0097612D"/>
    <w:rsid w:val="00976F41"/>
    <w:rsid w:val="009808D7"/>
    <w:rsid w:val="00980A33"/>
    <w:rsid w:val="00980F47"/>
    <w:rsid w:val="00981497"/>
    <w:rsid w:val="00981E54"/>
    <w:rsid w:val="00981F10"/>
    <w:rsid w:val="00982381"/>
    <w:rsid w:val="00982A19"/>
    <w:rsid w:val="00982CA9"/>
    <w:rsid w:val="00982D3A"/>
    <w:rsid w:val="00983264"/>
    <w:rsid w:val="00983645"/>
    <w:rsid w:val="0098373C"/>
    <w:rsid w:val="00991DC9"/>
    <w:rsid w:val="00992704"/>
    <w:rsid w:val="00993953"/>
    <w:rsid w:val="00994420"/>
    <w:rsid w:val="0099467F"/>
    <w:rsid w:val="00994D9C"/>
    <w:rsid w:val="009962DA"/>
    <w:rsid w:val="00996D4C"/>
    <w:rsid w:val="00996EB3"/>
    <w:rsid w:val="0099700E"/>
    <w:rsid w:val="009972B2"/>
    <w:rsid w:val="009979CD"/>
    <w:rsid w:val="009A1CCF"/>
    <w:rsid w:val="009A217A"/>
    <w:rsid w:val="009A2434"/>
    <w:rsid w:val="009A2937"/>
    <w:rsid w:val="009A2F41"/>
    <w:rsid w:val="009A3004"/>
    <w:rsid w:val="009A3381"/>
    <w:rsid w:val="009A3CAC"/>
    <w:rsid w:val="009A3DD2"/>
    <w:rsid w:val="009A4164"/>
    <w:rsid w:val="009A4312"/>
    <w:rsid w:val="009A4EB9"/>
    <w:rsid w:val="009A645C"/>
    <w:rsid w:val="009A7581"/>
    <w:rsid w:val="009B184E"/>
    <w:rsid w:val="009B258E"/>
    <w:rsid w:val="009B2754"/>
    <w:rsid w:val="009B2CE9"/>
    <w:rsid w:val="009B4AD0"/>
    <w:rsid w:val="009B6381"/>
    <w:rsid w:val="009B7611"/>
    <w:rsid w:val="009B7D68"/>
    <w:rsid w:val="009B7DB2"/>
    <w:rsid w:val="009C195E"/>
    <w:rsid w:val="009C1AD4"/>
    <w:rsid w:val="009C2344"/>
    <w:rsid w:val="009C2A24"/>
    <w:rsid w:val="009C2D73"/>
    <w:rsid w:val="009C2FC0"/>
    <w:rsid w:val="009C347F"/>
    <w:rsid w:val="009C3851"/>
    <w:rsid w:val="009C50AE"/>
    <w:rsid w:val="009C5255"/>
    <w:rsid w:val="009C637C"/>
    <w:rsid w:val="009C67C0"/>
    <w:rsid w:val="009C7130"/>
    <w:rsid w:val="009D020B"/>
    <w:rsid w:val="009D1147"/>
    <w:rsid w:val="009D1FBB"/>
    <w:rsid w:val="009D390F"/>
    <w:rsid w:val="009D3E00"/>
    <w:rsid w:val="009D42C3"/>
    <w:rsid w:val="009D58E6"/>
    <w:rsid w:val="009D6B05"/>
    <w:rsid w:val="009D6E37"/>
    <w:rsid w:val="009D7178"/>
    <w:rsid w:val="009D78DE"/>
    <w:rsid w:val="009E118F"/>
    <w:rsid w:val="009E1BD0"/>
    <w:rsid w:val="009E1E5C"/>
    <w:rsid w:val="009E2E15"/>
    <w:rsid w:val="009E310B"/>
    <w:rsid w:val="009E31CF"/>
    <w:rsid w:val="009E418F"/>
    <w:rsid w:val="009E690A"/>
    <w:rsid w:val="009E6D95"/>
    <w:rsid w:val="009F0552"/>
    <w:rsid w:val="009F097D"/>
    <w:rsid w:val="009F0DB8"/>
    <w:rsid w:val="009F0F13"/>
    <w:rsid w:val="009F11AB"/>
    <w:rsid w:val="009F22C9"/>
    <w:rsid w:val="009F38C0"/>
    <w:rsid w:val="009F3C6F"/>
    <w:rsid w:val="009F4176"/>
    <w:rsid w:val="009F4239"/>
    <w:rsid w:val="009F4509"/>
    <w:rsid w:val="009F46E1"/>
    <w:rsid w:val="009F505B"/>
    <w:rsid w:val="009F643E"/>
    <w:rsid w:val="009F67B3"/>
    <w:rsid w:val="00A035BC"/>
    <w:rsid w:val="00A035D6"/>
    <w:rsid w:val="00A0414F"/>
    <w:rsid w:val="00A05EAE"/>
    <w:rsid w:val="00A10789"/>
    <w:rsid w:val="00A12D31"/>
    <w:rsid w:val="00A13070"/>
    <w:rsid w:val="00A13381"/>
    <w:rsid w:val="00A140AE"/>
    <w:rsid w:val="00A1485E"/>
    <w:rsid w:val="00A153DD"/>
    <w:rsid w:val="00A15ECD"/>
    <w:rsid w:val="00A162AB"/>
    <w:rsid w:val="00A163E5"/>
    <w:rsid w:val="00A1653B"/>
    <w:rsid w:val="00A17C6C"/>
    <w:rsid w:val="00A17D88"/>
    <w:rsid w:val="00A21152"/>
    <w:rsid w:val="00A21A7E"/>
    <w:rsid w:val="00A21BBE"/>
    <w:rsid w:val="00A2308D"/>
    <w:rsid w:val="00A2413C"/>
    <w:rsid w:val="00A242C8"/>
    <w:rsid w:val="00A25360"/>
    <w:rsid w:val="00A260BC"/>
    <w:rsid w:val="00A2687A"/>
    <w:rsid w:val="00A26ED9"/>
    <w:rsid w:val="00A2731E"/>
    <w:rsid w:val="00A277D0"/>
    <w:rsid w:val="00A27D51"/>
    <w:rsid w:val="00A307D7"/>
    <w:rsid w:val="00A32731"/>
    <w:rsid w:val="00A328A4"/>
    <w:rsid w:val="00A33439"/>
    <w:rsid w:val="00A33BE2"/>
    <w:rsid w:val="00A33ECA"/>
    <w:rsid w:val="00A36000"/>
    <w:rsid w:val="00A37721"/>
    <w:rsid w:val="00A37E94"/>
    <w:rsid w:val="00A407EB"/>
    <w:rsid w:val="00A41740"/>
    <w:rsid w:val="00A41D97"/>
    <w:rsid w:val="00A42BB2"/>
    <w:rsid w:val="00A43245"/>
    <w:rsid w:val="00A44EC6"/>
    <w:rsid w:val="00A46681"/>
    <w:rsid w:val="00A466D3"/>
    <w:rsid w:val="00A46F1F"/>
    <w:rsid w:val="00A47285"/>
    <w:rsid w:val="00A47C72"/>
    <w:rsid w:val="00A5001F"/>
    <w:rsid w:val="00A5077B"/>
    <w:rsid w:val="00A521CD"/>
    <w:rsid w:val="00A5363B"/>
    <w:rsid w:val="00A55514"/>
    <w:rsid w:val="00A60926"/>
    <w:rsid w:val="00A61ECF"/>
    <w:rsid w:val="00A62738"/>
    <w:rsid w:val="00A62867"/>
    <w:rsid w:val="00A62F4E"/>
    <w:rsid w:val="00A6327C"/>
    <w:rsid w:val="00A65047"/>
    <w:rsid w:val="00A66FB8"/>
    <w:rsid w:val="00A707DF"/>
    <w:rsid w:val="00A70822"/>
    <w:rsid w:val="00A70958"/>
    <w:rsid w:val="00A70E19"/>
    <w:rsid w:val="00A717D7"/>
    <w:rsid w:val="00A72098"/>
    <w:rsid w:val="00A72521"/>
    <w:rsid w:val="00A730CC"/>
    <w:rsid w:val="00A74582"/>
    <w:rsid w:val="00A74A15"/>
    <w:rsid w:val="00A74ABB"/>
    <w:rsid w:val="00A75725"/>
    <w:rsid w:val="00A7696F"/>
    <w:rsid w:val="00A775DD"/>
    <w:rsid w:val="00A800E4"/>
    <w:rsid w:val="00A80153"/>
    <w:rsid w:val="00A81C65"/>
    <w:rsid w:val="00A81CF7"/>
    <w:rsid w:val="00A8215E"/>
    <w:rsid w:val="00A835E3"/>
    <w:rsid w:val="00A8376C"/>
    <w:rsid w:val="00A8411E"/>
    <w:rsid w:val="00A859DB"/>
    <w:rsid w:val="00A90929"/>
    <w:rsid w:val="00A90933"/>
    <w:rsid w:val="00A92042"/>
    <w:rsid w:val="00A92FEE"/>
    <w:rsid w:val="00A93F82"/>
    <w:rsid w:val="00A94517"/>
    <w:rsid w:val="00A94E04"/>
    <w:rsid w:val="00A95073"/>
    <w:rsid w:val="00A96765"/>
    <w:rsid w:val="00A96926"/>
    <w:rsid w:val="00A96D29"/>
    <w:rsid w:val="00AA04CE"/>
    <w:rsid w:val="00AA1060"/>
    <w:rsid w:val="00AA1086"/>
    <w:rsid w:val="00AA25B3"/>
    <w:rsid w:val="00AA2D89"/>
    <w:rsid w:val="00AA39EB"/>
    <w:rsid w:val="00AA556D"/>
    <w:rsid w:val="00AA5929"/>
    <w:rsid w:val="00AA69A9"/>
    <w:rsid w:val="00AB045A"/>
    <w:rsid w:val="00AB1B88"/>
    <w:rsid w:val="00AB2482"/>
    <w:rsid w:val="00AB2C09"/>
    <w:rsid w:val="00AB36A9"/>
    <w:rsid w:val="00AB44E4"/>
    <w:rsid w:val="00AB4830"/>
    <w:rsid w:val="00AB4D42"/>
    <w:rsid w:val="00AB5C40"/>
    <w:rsid w:val="00AB691B"/>
    <w:rsid w:val="00AB714C"/>
    <w:rsid w:val="00AB7588"/>
    <w:rsid w:val="00AB7D02"/>
    <w:rsid w:val="00AB7FE4"/>
    <w:rsid w:val="00AC0B60"/>
    <w:rsid w:val="00AC0CEC"/>
    <w:rsid w:val="00AC2835"/>
    <w:rsid w:val="00AC2C42"/>
    <w:rsid w:val="00AC38C4"/>
    <w:rsid w:val="00AC5224"/>
    <w:rsid w:val="00AC5308"/>
    <w:rsid w:val="00AC6D1C"/>
    <w:rsid w:val="00AC701D"/>
    <w:rsid w:val="00AC742C"/>
    <w:rsid w:val="00AC76ED"/>
    <w:rsid w:val="00AD1553"/>
    <w:rsid w:val="00AD2760"/>
    <w:rsid w:val="00AD5CE8"/>
    <w:rsid w:val="00AD7981"/>
    <w:rsid w:val="00AE028E"/>
    <w:rsid w:val="00AE0591"/>
    <w:rsid w:val="00AE1873"/>
    <w:rsid w:val="00AE313A"/>
    <w:rsid w:val="00AE4AD9"/>
    <w:rsid w:val="00AE4DB9"/>
    <w:rsid w:val="00AE52FD"/>
    <w:rsid w:val="00AE5892"/>
    <w:rsid w:val="00AE5A88"/>
    <w:rsid w:val="00AE5D37"/>
    <w:rsid w:val="00AE60CC"/>
    <w:rsid w:val="00AE65D8"/>
    <w:rsid w:val="00AE65E2"/>
    <w:rsid w:val="00AE6EBC"/>
    <w:rsid w:val="00AE7868"/>
    <w:rsid w:val="00AE790F"/>
    <w:rsid w:val="00AF028C"/>
    <w:rsid w:val="00AF0E29"/>
    <w:rsid w:val="00AF1767"/>
    <w:rsid w:val="00AF25A1"/>
    <w:rsid w:val="00AF338B"/>
    <w:rsid w:val="00AF36CD"/>
    <w:rsid w:val="00AF3A66"/>
    <w:rsid w:val="00AF3B38"/>
    <w:rsid w:val="00AF4DEA"/>
    <w:rsid w:val="00AF5251"/>
    <w:rsid w:val="00AF5C3F"/>
    <w:rsid w:val="00AF666B"/>
    <w:rsid w:val="00B01DE6"/>
    <w:rsid w:val="00B02494"/>
    <w:rsid w:val="00B02C34"/>
    <w:rsid w:val="00B02DD0"/>
    <w:rsid w:val="00B02DDD"/>
    <w:rsid w:val="00B0361A"/>
    <w:rsid w:val="00B041F6"/>
    <w:rsid w:val="00B04509"/>
    <w:rsid w:val="00B05415"/>
    <w:rsid w:val="00B05C79"/>
    <w:rsid w:val="00B06DD4"/>
    <w:rsid w:val="00B10157"/>
    <w:rsid w:val="00B10715"/>
    <w:rsid w:val="00B10FCA"/>
    <w:rsid w:val="00B1167F"/>
    <w:rsid w:val="00B1186A"/>
    <w:rsid w:val="00B1320F"/>
    <w:rsid w:val="00B146AC"/>
    <w:rsid w:val="00B159A7"/>
    <w:rsid w:val="00B16AAA"/>
    <w:rsid w:val="00B16BBE"/>
    <w:rsid w:val="00B1777F"/>
    <w:rsid w:val="00B201B4"/>
    <w:rsid w:val="00B2178D"/>
    <w:rsid w:val="00B217A2"/>
    <w:rsid w:val="00B2270C"/>
    <w:rsid w:val="00B228E5"/>
    <w:rsid w:val="00B24076"/>
    <w:rsid w:val="00B248F8"/>
    <w:rsid w:val="00B24E35"/>
    <w:rsid w:val="00B2553F"/>
    <w:rsid w:val="00B25E1C"/>
    <w:rsid w:val="00B263E4"/>
    <w:rsid w:val="00B266D5"/>
    <w:rsid w:val="00B270ED"/>
    <w:rsid w:val="00B302DE"/>
    <w:rsid w:val="00B30875"/>
    <w:rsid w:val="00B30A35"/>
    <w:rsid w:val="00B30C3F"/>
    <w:rsid w:val="00B30F12"/>
    <w:rsid w:val="00B31C06"/>
    <w:rsid w:val="00B31D02"/>
    <w:rsid w:val="00B327D4"/>
    <w:rsid w:val="00B33ABF"/>
    <w:rsid w:val="00B33E6B"/>
    <w:rsid w:val="00B35BC3"/>
    <w:rsid w:val="00B35F85"/>
    <w:rsid w:val="00B369AE"/>
    <w:rsid w:val="00B37066"/>
    <w:rsid w:val="00B370D4"/>
    <w:rsid w:val="00B40C99"/>
    <w:rsid w:val="00B41B21"/>
    <w:rsid w:val="00B42181"/>
    <w:rsid w:val="00B425BA"/>
    <w:rsid w:val="00B4267A"/>
    <w:rsid w:val="00B42D11"/>
    <w:rsid w:val="00B43C0F"/>
    <w:rsid w:val="00B4464D"/>
    <w:rsid w:val="00B4557F"/>
    <w:rsid w:val="00B460D1"/>
    <w:rsid w:val="00B468D6"/>
    <w:rsid w:val="00B500DA"/>
    <w:rsid w:val="00B531BB"/>
    <w:rsid w:val="00B533CB"/>
    <w:rsid w:val="00B534A2"/>
    <w:rsid w:val="00B53DE2"/>
    <w:rsid w:val="00B5400E"/>
    <w:rsid w:val="00B552DF"/>
    <w:rsid w:val="00B576D0"/>
    <w:rsid w:val="00B605D8"/>
    <w:rsid w:val="00B60AB4"/>
    <w:rsid w:val="00B60D22"/>
    <w:rsid w:val="00B610AA"/>
    <w:rsid w:val="00B61EE8"/>
    <w:rsid w:val="00B626A7"/>
    <w:rsid w:val="00B62CE8"/>
    <w:rsid w:val="00B63FA1"/>
    <w:rsid w:val="00B646B6"/>
    <w:rsid w:val="00B6484E"/>
    <w:rsid w:val="00B64C53"/>
    <w:rsid w:val="00B64ECA"/>
    <w:rsid w:val="00B64FE7"/>
    <w:rsid w:val="00B650A2"/>
    <w:rsid w:val="00B650BE"/>
    <w:rsid w:val="00B656F8"/>
    <w:rsid w:val="00B666F5"/>
    <w:rsid w:val="00B6740C"/>
    <w:rsid w:val="00B679F1"/>
    <w:rsid w:val="00B67F0D"/>
    <w:rsid w:val="00B70A62"/>
    <w:rsid w:val="00B7175E"/>
    <w:rsid w:val="00B732BD"/>
    <w:rsid w:val="00B738B7"/>
    <w:rsid w:val="00B73AEC"/>
    <w:rsid w:val="00B7462F"/>
    <w:rsid w:val="00B747D6"/>
    <w:rsid w:val="00B75F0D"/>
    <w:rsid w:val="00B77430"/>
    <w:rsid w:val="00B77629"/>
    <w:rsid w:val="00B81F52"/>
    <w:rsid w:val="00B83759"/>
    <w:rsid w:val="00B838D1"/>
    <w:rsid w:val="00B85E36"/>
    <w:rsid w:val="00B861B4"/>
    <w:rsid w:val="00B86683"/>
    <w:rsid w:val="00B8798C"/>
    <w:rsid w:val="00B903A6"/>
    <w:rsid w:val="00B90640"/>
    <w:rsid w:val="00B90A5D"/>
    <w:rsid w:val="00B91395"/>
    <w:rsid w:val="00B92ABD"/>
    <w:rsid w:val="00B931E7"/>
    <w:rsid w:val="00B93D55"/>
    <w:rsid w:val="00B94752"/>
    <w:rsid w:val="00B9560C"/>
    <w:rsid w:val="00B958A5"/>
    <w:rsid w:val="00B95B47"/>
    <w:rsid w:val="00B96CB9"/>
    <w:rsid w:val="00B971FE"/>
    <w:rsid w:val="00BA020B"/>
    <w:rsid w:val="00BA23AD"/>
    <w:rsid w:val="00BA3476"/>
    <w:rsid w:val="00BA37FB"/>
    <w:rsid w:val="00BA39B9"/>
    <w:rsid w:val="00BA3CD7"/>
    <w:rsid w:val="00BA3DFC"/>
    <w:rsid w:val="00BA4A1C"/>
    <w:rsid w:val="00BA4AC9"/>
    <w:rsid w:val="00BA600B"/>
    <w:rsid w:val="00BA6079"/>
    <w:rsid w:val="00BA6B47"/>
    <w:rsid w:val="00BA6B53"/>
    <w:rsid w:val="00BB19D7"/>
    <w:rsid w:val="00BB36F0"/>
    <w:rsid w:val="00BB54A5"/>
    <w:rsid w:val="00BB5D16"/>
    <w:rsid w:val="00BB616F"/>
    <w:rsid w:val="00BB657E"/>
    <w:rsid w:val="00BB7E4D"/>
    <w:rsid w:val="00BC1F1B"/>
    <w:rsid w:val="00BC2017"/>
    <w:rsid w:val="00BC3E26"/>
    <w:rsid w:val="00BC457E"/>
    <w:rsid w:val="00BC52FB"/>
    <w:rsid w:val="00BC582A"/>
    <w:rsid w:val="00BC64FA"/>
    <w:rsid w:val="00BC68C5"/>
    <w:rsid w:val="00BC6A91"/>
    <w:rsid w:val="00BD0A6B"/>
    <w:rsid w:val="00BD0FF3"/>
    <w:rsid w:val="00BD1555"/>
    <w:rsid w:val="00BD284F"/>
    <w:rsid w:val="00BD36C7"/>
    <w:rsid w:val="00BD3865"/>
    <w:rsid w:val="00BD4EFE"/>
    <w:rsid w:val="00BD50E1"/>
    <w:rsid w:val="00BD67C8"/>
    <w:rsid w:val="00BD6BBC"/>
    <w:rsid w:val="00BE031D"/>
    <w:rsid w:val="00BE12A1"/>
    <w:rsid w:val="00BE12DD"/>
    <w:rsid w:val="00BE1DF6"/>
    <w:rsid w:val="00BE23C1"/>
    <w:rsid w:val="00BE33B3"/>
    <w:rsid w:val="00BE3C37"/>
    <w:rsid w:val="00BE3DDE"/>
    <w:rsid w:val="00BE554A"/>
    <w:rsid w:val="00BE5849"/>
    <w:rsid w:val="00BE62AE"/>
    <w:rsid w:val="00BE64F9"/>
    <w:rsid w:val="00BE7215"/>
    <w:rsid w:val="00BE7E75"/>
    <w:rsid w:val="00BF0502"/>
    <w:rsid w:val="00BF0EDF"/>
    <w:rsid w:val="00BF108F"/>
    <w:rsid w:val="00BF2CA1"/>
    <w:rsid w:val="00BF3481"/>
    <w:rsid w:val="00BF35B9"/>
    <w:rsid w:val="00BF3CCA"/>
    <w:rsid w:val="00BF41E1"/>
    <w:rsid w:val="00BF50BF"/>
    <w:rsid w:val="00BF5B1C"/>
    <w:rsid w:val="00BF65D1"/>
    <w:rsid w:val="00BF7196"/>
    <w:rsid w:val="00BF7266"/>
    <w:rsid w:val="00BF7DCE"/>
    <w:rsid w:val="00C01529"/>
    <w:rsid w:val="00C03D56"/>
    <w:rsid w:val="00C04687"/>
    <w:rsid w:val="00C04BE7"/>
    <w:rsid w:val="00C05961"/>
    <w:rsid w:val="00C06523"/>
    <w:rsid w:val="00C07377"/>
    <w:rsid w:val="00C07528"/>
    <w:rsid w:val="00C0763D"/>
    <w:rsid w:val="00C10017"/>
    <w:rsid w:val="00C100C5"/>
    <w:rsid w:val="00C117CC"/>
    <w:rsid w:val="00C1187F"/>
    <w:rsid w:val="00C125AF"/>
    <w:rsid w:val="00C13677"/>
    <w:rsid w:val="00C137A5"/>
    <w:rsid w:val="00C15C8D"/>
    <w:rsid w:val="00C1718E"/>
    <w:rsid w:val="00C17387"/>
    <w:rsid w:val="00C17497"/>
    <w:rsid w:val="00C20527"/>
    <w:rsid w:val="00C21BB2"/>
    <w:rsid w:val="00C22228"/>
    <w:rsid w:val="00C2235D"/>
    <w:rsid w:val="00C22569"/>
    <w:rsid w:val="00C23185"/>
    <w:rsid w:val="00C234B9"/>
    <w:rsid w:val="00C24898"/>
    <w:rsid w:val="00C24D79"/>
    <w:rsid w:val="00C26CDE"/>
    <w:rsid w:val="00C27854"/>
    <w:rsid w:val="00C30787"/>
    <w:rsid w:val="00C313DE"/>
    <w:rsid w:val="00C31D81"/>
    <w:rsid w:val="00C33FD3"/>
    <w:rsid w:val="00C3415C"/>
    <w:rsid w:val="00C34E7D"/>
    <w:rsid w:val="00C359FA"/>
    <w:rsid w:val="00C36227"/>
    <w:rsid w:val="00C369D6"/>
    <w:rsid w:val="00C401A0"/>
    <w:rsid w:val="00C40B3F"/>
    <w:rsid w:val="00C40D6B"/>
    <w:rsid w:val="00C41090"/>
    <w:rsid w:val="00C410F2"/>
    <w:rsid w:val="00C4119F"/>
    <w:rsid w:val="00C41712"/>
    <w:rsid w:val="00C43DB1"/>
    <w:rsid w:val="00C44CD4"/>
    <w:rsid w:val="00C44DDE"/>
    <w:rsid w:val="00C45B90"/>
    <w:rsid w:val="00C46435"/>
    <w:rsid w:val="00C46920"/>
    <w:rsid w:val="00C46A5C"/>
    <w:rsid w:val="00C4746F"/>
    <w:rsid w:val="00C47683"/>
    <w:rsid w:val="00C479F2"/>
    <w:rsid w:val="00C516A6"/>
    <w:rsid w:val="00C5183B"/>
    <w:rsid w:val="00C528F8"/>
    <w:rsid w:val="00C5464E"/>
    <w:rsid w:val="00C55633"/>
    <w:rsid w:val="00C55C85"/>
    <w:rsid w:val="00C5770F"/>
    <w:rsid w:val="00C5796C"/>
    <w:rsid w:val="00C57C79"/>
    <w:rsid w:val="00C57E27"/>
    <w:rsid w:val="00C601E5"/>
    <w:rsid w:val="00C6029F"/>
    <w:rsid w:val="00C6039A"/>
    <w:rsid w:val="00C61444"/>
    <w:rsid w:val="00C61B62"/>
    <w:rsid w:val="00C61DD1"/>
    <w:rsid w:val="00C62183"/>
    <w:rsid w:val="00C6218A"/>
    <w:rsid w:val="00C62971"/>
    <w:rsid w:val="00C63910"/>
    <w:rsid w:val="00C63B07"/>
    <w:rsid w:val="00C64633"/>
    <w:rsid w:val="00C65035"/>
    <w:rsid w:val="00C6545A"/>
    <w:rsid w:val="00C65F03"/>
    <w:rsid w:val="00C668EC"/>
    <w:rsid w:val="00C67925"/>
    <w:rsid w:val="00C70AE7"/>
    <w:rsid w:val="00C7104D"/>
    <w:rsid w:val="00C711D6"/>
    <w:rsid w:val="00C72E31"/>
    <w:rsid w:val="00C7365D"/>
    <w:rsid w:val="00C7387B"/>
    <w:rsid w:val="00C74408"/>
    <w:rsid w:val="00C7462D"/>
    <w:rsid w:val="00C7502F"/>
    <w:rsid w:val="00C76163"/>
    <w:rsid w:val="00C76412"/>
    <w:rsid w:val="00C77939"/>
    <w:rsid w:val="00C8049F"/>
    <w:rsid w:val="00C80F4D"/>
    <w:rsid w:val="00C81999"/>
    <w:rsid w:val="00C81A19"/>
    <w:rsid w:val="00C83821"/>
    <w:rsid w:val="00C83ACA"/>
    <w:rsid w:val="00C83BD2"/>
    <w:rsid w:val="00C842F7"/>
    <w:rsid w:val="00C84405"/>
    <w:rsid w:val="00C846BE"/>
    <w:rsid w:val="00C84764"/>
    <w:rsid w:val="00C8600B"/>
    <w:rsid w:val="00C86982"/>
    <w:rsid w:val="00C874F7"/>
    <w:rsid w:val="00C876C1"/>
    <w:rsid w:val="00C87B57"/>
    <w:rsid w:val="00C9043B"/>
    <w:rsid w:val="00C90797"/>
    <w:rsid w:val="00C91E7A"/>
    <w:rsid w:val="00C925F3"/>
    <w:rsid w:val="00C9283F"/>
    <w:rsid w:val="00C94488"/>
    <w:rsid w:val="00C94587"/>
    <w:rsid w:val="00C945D6"/>
    <w:rsid w:val="00C95682"/>
    <w:rsid w:val="00C95735"/>
    <w:rsid w:val="00C962C4"/>
    <w:rsid w:val="00C96A45"/>
    <w:rsid w:val="00C97D00"/>
    <w:rsid w:val="00CA13E4"/>
    <w:rsid w:val="00CA2BB0"/>
    <w:rsid w:val="00CA2C55"/>
    <w:rsid w:val="00CA3A13"/>
    <w:rsid w:val="00CA439F"/>
    <w:rsid w:val="00CA4884"/>
    <w:rsid w:val="00CA4B1A"/>
    <w:rsid w:val="00CA4F30"/>
    <w:rsid w:val="00CA510F"/>
    <w:rsid w:val="00CB2897"/>
    <w:rsid w:val="00CB2FDB"/>
    <w:rsid w:val="00CB32E1"/>
    <w:rsid w:val="00CB389F"/>
    <w:rsid w:val="00CB5E31"/>
    <w:rsid w:val="00CB6DB0"/>
    <w:rsid w:val="00CB71AF"/>
    <w:rsid w:val="00CC0549"/>
    <w:rsid w:val="00CC39DD"/>
    <w:rsid w:val="00CC3DA3"/>
    <w:rsid w:val="00CC3F3B"/>
    <w:rsid w:val="00CC517D"/>
    <w:rsid w:val="00CC5C61"/>
    <w:rsid w:val="00CC6CD5"/>
    <w:rsid w:val="00CD0601"/>
    <w:rsid w:val="00CD0EF5"/>
    <w:rsid w:val="00CD0FDE"/>
    <w:rsid w:val="00CD1DE2"/>
    <w:rsid w:val="00CD2057"/>
    <w:rsid w:val="00CD2D54"/>
    <w:rsid w:val="00CD2E46"/>
    <w:rsid w:val="00CD33AB"/>
    <w:rsid w:val="00CD40A8"/>
    <w:rsid w:val="00CD493A"/>
    <w:rsid w:val="00CD63CB"/>
    <w:rsid w:val="00CD6BEF"/>
    <w:rsid w:val="00CD6E61"/>
    <w:rsid w:val="00CE0462"/>
    <w:rsid w:val="00CE0547"/>
    <w:rsid w:val="00CE0F5C"/>
    <w:rsid w:val="00CE1056"/>
    <w:rsid w:val="00CE1BFA"/>
    <w:rsid w:val="00CE1C3D"/>
    <w:rsid w:val="00CE27D8"/>
    <w:rsid w:val="00CE3297"/>
    <w:rsid w:val="00CE39F6"/>
    <w:rsid w:val="00CE4879"/>
    <w:rsid w:val="00CE5269"/>
    <w:rsid w:val="00CE707E"/>
    <w:rsid w:val="00CE7966"/>
    <w:rsid w:val="00CF0074"/>
    <w:rsid w:val="00CF0219"/>
    <w:rsid w:val="00CF047B"/>
    <w:rsid w:val="00CF0766"/>
    <w:rsid w:val="00CF20B9"/>
    <w:rsid w:val="00CF2CA3"/>
    <w:rsid w:val="00CF480C"/>
    <w:rsid w:val="00CF5B83"/>
    <w:rsid w:val="00CF5E33"/>
    <w:rsid w:val="00CF63B7"/>
    <w:rsid w:val="00CF6CAC"/>
    <w:rsid w:val="00D008AB"/>
    <w:rsid w:val="00D01089"/>
    <w:rsid w:val="00D017F9"/>
    <w:rsid w:val="00D02FC1"/>
    <w:rsid w:val="00D061EE"/>
    <w:rsid w:val="00D06750"/>
    <w:rsid w:val="00D06BC6"/>
    <w:rsid w:val="00D07799"/>
    <w:rsid w:val="00D07BDB"/>
    <w:rsid w:val="00D07EC2"/>
    <w:rsid w:val="00D108C9"/>
    <w:rsid w:val="00D10C0A"/>
    <w:rsid w:val="00D10C3D"/>
    <w:rsid w:val="00D1213F"/>
    <w:rsid w:val="00D13727"/>
    <w:rsid w:val="00D15E8E"/>
    <w:rsid w:val="00D16150"/>
    <w:rsid w:val="00D169B8"/>
    <w:rsid w:val="00D16C82"/>
    <w:rsid w:val="00D171E7"/>
    <w:rsid w:val="00D21637"/>
    <w:rsid w:val="00D224DD"/>
    <w:rsid w:val="00D2274A"/>
    <w:rsid w:val="00D2392C"/>
    <w:rsid w:val="00D23AB5"/>
    <w:rsid w:val="00D23ED3"/>
    <w:rsid w:val="00D23FD6"/>
    <w:rsid w:val="00D246B1"/>
    <w:rsid w:val="00D25CD5"/>
    <w:rsid w:val="00D264AC"/>
    <w:rsid w:val="00D26EEB"/>
    <w:rsid w:val="00D26FD1"/>
    <w:rsid w:val="00D30405"/>
    <w:rsid w:val="00D30EAB"/>
    <w:rsid w:val="00D3125D"/>
    <w:rsid w:val="00D3143A"/>
    <w:rsid w:val="00D32853"/>
    <w:rsid w:val="00D338EE"/>
    <w:rsid w:val="00D33BBD"/>
    <w:rsid w:val="00D34A6D"/>
    <w:rsid w:val="00D362DC"/>
    <w:rsid w:val="00D367B2"/>
    <w:rsid w:val="00D40D48"/>
    <w:rsid w:val="00D41957"/>
    <w:rsid w:val="00D41AE1"/>
    <w:rsid w:val="00D43BCC"/>
    <w:rsid w:val="00D43D0F"/>
    <w:rsid w:val="00D43D1B"/>
    <w:rsid w:val="00D43E40"/>
    <w:rsid w:val="00D44C8E"/>
    <w:rsid w:val="00D44E2F"/>
    <w:rsid w:val="00D45D08"/>
    <w:rsid w:val="00D4632A"/>
    <w:rsid w:val="00D47B9C"/>
    <w:rsid w:val="00D5045F"/>
    <w:rsid w:val="00D509CF"/>
    <w:rsid w:val="00D50FCF"/>
    <w:rsid w:val="00D523C5"/>
    <w:rsid w:val="00D52AA7"/>
    <w:rsid w:val="00D53975"/>
    <w:rsid w:val="00D55398"/>
    <w:rsid w:val="00D555D5"/>
    <w:rsid w:val="00D56930"/>
    <w:rsid w:val="00D569D2"/>
    <w:rsid w:val="00D56B54"/>
    <w:rsid w:val="00D56DAB"/>
    <w:rsid w:val="00D60DF0"/>
    <w:rsid w:val="00D60ED4"/>
    <w:rsid w:val="00D610AF"/>
    <w:rsid w:val="00D6129C"/>
    <w:rsid w:val="00D62756"/>
    <w:rsid w:val="00D6278B"/>
    <w:rsid w:val="00D65D64"/>
    <w:rsid w:val="00D66807"/>
    <w:rsid w:val="00D66A58"/>
    <w:rsid w:val="00D66D2D"/>
    <w:rsid w:val="00D67174"/>
    <w:rsid w:val="00D67C43"/>
    <w:rsid w:val="00D70729"/>
    <w:rsid w:val="00D726C7"/>
    <w:rsid w:val="00D73F40"/>
    <w:rsid w:val="00D749A2"/>
    <w:rsid w:val="00D75033"/>
    <w:rsid w:val="00D751C7"/>
    <w:rsid w:val="00D75340"/>
    <w:rsid w:val="00D75B61"/>
    <w:rsid w:val="00D7625E"/>
    <w:rsid w:val="00D76CF5"/>
    <w:rsid w:val="00D77204"/>
    <w:rsid w:val="00D779EF"/>
    <w:rsid w:val="00D80771"/>
    <w:rsid w:val="00D813CA"/>
    <w:rsid w:val="00D81BB8"/>
    <w:rsid w:val="00D82DF7"/>
    <w:rsid w:val="00D8433D"/>
    <w:rsid w:val="00D84377"/>
    <w:rsid w:val="00D85505"/>
    <w:rsid w:val="00D86774"/>
    <w:rsid w:val="00D874FF"/>
    <w:rsid w:val="00D87F82"/>
    <w:rsid w:val="00D9071B"/>
    <w:rsid w:val="00D9171A"/>
    <w:rsid w:val="00D928DF"/>
    <w:rsid w:val="00D92FFB"/>
    <w:rsid w:val="00D93929"/>
    <w:rsid w:val="00D93BD3"/>
    <w:rsid w:val="00D941F8"/>
    <w:rsid w:val="00D967FB"/>
    <w:rsid w:val="00D968A4"/>
    <w:rsid w:val="00D969CD"/>
    <w:rsid w:val="00D96BC7"/>
    <w:rsid w:val="00D96C4F"/>
    <w:rsid w:val="00D96CF7"/>
    <w:rsid w:val="00D97081"/>
    <w:rsid w:val="00D972E8"/>
    <w:rsid w:val="00DA0632"/>
    <w:rsid w:val="00DA14DE"/>
    <w:rsid w:val="00DA1A89"/>
    <w:rsid w:val="00DA3238"/>
    <w:rsid w:val="00DA32B4"/>
    <w:rsid w:val="00DA4267"/>
    <w:rsid w:val="00DA4F84"/>
    <w:rsid w:val="00DA4F8F"/>
    <w:rsid w:val="00DA591B"/>
    <w:rsid w:val="00DA6850"/>
    <w:rsid w:val="00DA7FED"/>
    <w:rsid w:val="00DB014F"/>
    <w:rsid w:val="00DB0B6F"/>
    <w:rsid w:val="00DB1466"/>
    <w:rsid w:val="00DB19B0"/>
    <w:rsid w:val="00DB1B0C"/>
    <w:rsid w:val="00DB1EFE"/>
    <w:rsid w:val="00DB23E3"/>
    <w:rsid w:val="00DB26D4"/>
    <w:rsid w:val="00DB2D7C"/>
    <w:rsid w:val="00DB3794"/>
    <w:rsid w:val="00DB5065"/>
    <w:rsid w:val="00DB6FDB"/>
    <w:rsid w:val="00DB70AA"/>
    <w:rsid w:val="00DB70C8"/>
    <w:rsid w:val="00DB725E"/>
    <w:rsid w:val="00DC0823"/>
    <w:rsid w:val="00DC1489"/>
    <w:rsid w:val="00DC2961"/>
    <w:rsid w:val="00DC366C"/>
    <w:rsid w:val="00DC3AC9"/>
    <w:rsid w:val="00DC41FA"/>
    <w:rsid w:val="00DC5B41"/>
    <w:rsid w:val="00DC60C2"/>
    <w:rsid w:val="00DC6B78"/>
    <w:rsid w:val="00DC77E5"/>
    <w:rsid w:val="00DD116F"/>
    <w:rsid w:val="00DD198B"/>
    <w:rsid w:val="00DD69A2"/>
    <w:rsid w:val="00DD7C7E"/>
    <w:rsid w:val="00DE2403"/>
    <w:rsid w:val="00DE313D"/>
    <w:rsid w:val="00DE36CD"/>
    <w:rsid w:val="00DE3B9F"/>
    <w:rsid w:val="00DE3BB8"/>
    <w:rsid w:val="00DE3C34"/>
    <w:rsid w:val="00DE3C3B"/>
    <w:rsid w:val="00DE4340"/>
    <w:rsid w:val="00DE4EC8"/>
    <w:rsid w:val="00DE67C0"/>
    <w:rsid w:val="00DE6AC2"/>
    <w:rsid w:val="00DE7362"/>
    <w:rsid w:val="00DF0C6D"/>
    <w:rsid w:val="00DF1133"/>
    <w:rsid w:val="00DF1834"/>
    <w:rsid w:val="00DF1CB5"/>
    <w:rsid w:val="00DF2620"/>
    <w:rsid w:val="00DF2ED5"/>
    <w:rsid w:val="00DF305E"/>
    <w:rsid w:val="00DF4156"/>
    <w:rsid w:val="00DF4192"/>
    <w:rsid w:val="00DF4517"/>
    <w:rsid w:val="00DF4AA3"/>
    <w:rsid w:val="00DF52AD"/>
    <w:rsid w:val="00DF554A"/>
    <w:rsid w:val="00DF6AC1"/>
    <w:rsid w:val="00DF6B82"/>
    <w:rsid w:val="00DF7003"/>
    <w:rsid w:val="00DF789A"/>
    <w:rsid w:val="00E004DF"/>
    <w:rsid w:val="00E00B58"/>
    <w:rsid w:val="00E01AA0"/>
    <w:rsid w:val="00E0225F"/>
    <w:rsid w:val="00E02628"/>
    <w:rsid w:val="00E02B3D"/>
    <w:rsid w:val="00E063D8"/>
    <w:rsid w:val="00E06D44"/>
    <w:rsid w:val="00E10659"/>
    <w:rsid w:val="00E12043"/>
    <w:rsid w:val="00E13161"/>
    <w:rsid w:val="00E13F83"/>
    <w:rsid w:val="00E1411A"/>
    <w:rsid w:val="00E16903"/>
    <w:rsid w:val="00E169E0"/>
    <w:rsid w:val="00E174A9"/>
    <w:rsid w:val="00E207CF"/>
    <w:rsid w:val="00E22586"/>
    <w:rsid w:val="00E229E7"/>
    <w:rsid w:val="00E22E5F"/>
    <w:rsid w:val="00E230B4"/>
    <w:rsid w:val="00E23199"/>
    <w:rsid w:val="00E2326E"/>
    <w:rsid w:val="00E23310"/>
    <w:rsid w:val="00E23742"/>
    <w:rsid w:val="00E24247"/>
    <w:rsid w:val="00E24C4F"/>
    <w:rsid w:val="00E24D0D"/>
    <w:rsid w:val="00E255BC"/>
    <w:rsid w:val="00E25C16"/>
    <w:rsid w:val="00E264B6"/>
    <w:rsid w:val="00E26B36"/>
    <w:rsid w:val="00E277D3"/>
    <w:rsid w:val="00E30A33"/>
    <w:rsid w:val="00E3140D"/>
    <w:rsid w:val="00E316E0"/>
    <w:rsid w:val="00E31CC6"/>
    <w:rsid w:val="00E32D04"/>
    <w:rsid w:val="00E33F86"/>
    <w:rsid w:val="00E345FD"/>
    <w:rsid w:val="00E35DEA"/>
    <w:rsid w:val="00E36593"/>
    <w:rsid w:val="00E40CDB"/>
    <w:rsid w:val="00E4114C"/>
    <w:rsid w:val="00E43B00"/>
    <w:rsid w:val="00E44368"/>
    <w:rsid w:val="00E452D3"/>
    <w:rsid w:val="00E462CC"/>
    <w:rsid w:val="00E46574"/>
    <w:rsid w:val="00E46E5E"/>
    <w:rsid w:val="00E47589"/>
    <w:rsid w:val="00E478A5"/>
    <w:rsid w:val="00E500A1"/>
    <w:rsid w:val="00E50EDE"/>
    <w:rsid w:val="00E50FB6"/>
    <w:rsid w:val="00E5163F"/>
    <w:rsid w:val="00E53763"/>
    <w:rsid w:val="00E54D77"/>
    <w:rsid w:val="00E55DCD"/>
    <w:rsid w:val="00E57098"/>
    <w:rsid w:val="00E57620"/>
    <w:rsid w:val="00E60E3F"/>
    <w:rsid w:val="00E6270B"/>
    <w:rsid w:val="00E647C7"/>
    <w:rsid w:val="00E64B51"/>
    <w:rsid w:val="00E658A4"/>
    <w:rsid w:val="00E66D66"/>
    <w:rsid w:val="00E673E1"/>
    <w:rsid w:val="00E67E30"/>
    <w:rsid w:val="00E70901"/>
    <w:rsid w:val="00E70CD5"/>
    <w:rsid w:val="00E72369"/>
    <w:rsid w:val="00E72618"/>
    <w:rsid w:val="00E72975"/>
    <w:rsid w:val="00E7356F"/>
    <w:rsid w:val="00E7404B"/>
    <w:rsid w:val="00E75A24"/>
    <w:rsid w:val="00E76425"/>
    <w:rsid w:val="00E76A53"/>
    <w:rsid w:val="00E77C16"/>
    <w:rsid w:val="00E77FA9"/>
    <w:rsid w:val="00E80475"/>
    <w:rsid w:val="00E80829"/>
    <w:rsid w:val="00E8335E"/>
    <w:rsid w:val="00E83696"/>
    <w:rsid w:val="00E836F8"/>
    <w:rsid w:val="00E83B35"/>
    <w:rsid w:val="00E84CE9"/>
    <w:rsid w:val="00E84D52"/>
    <w:rsid w:val="00E853DA"/>
    <w:rsid w:val="00E8566C"/>
    <w:rsid w:val="00E8648A"/>
    <w:rsid w:val="00E864E4"/>
    <w:rsid w:val="00E864F9"/>
    <w:rsid w:val="00E86C41"/>
    <w:rsid w:val="00E86D69"/>
    <w:rsid w:val="00E90501"/>
    <w:rsid w:val="00E908EC"/>
    <w:rsid w:val="00E92342"/>
    <w:rsid w:val="00E9505E"/>
    <w:rsid w:val="00E9520C"/>
    <w:rsid w:val="00E954BC"/>
    <w:rsid w:val="00E95614"/>
    <w:rsid w:val="00E958BE"/>
    <w:rsid w:val="00E959D4"/>
    <w:rsid w:val="00E968E9"/>
    <w:rsid w:val="00E96FF2"/>
    <w:rsid w:val="00E9702E"/>
    <w:rsid w:val="00E977B4"/>
    <w:rsid w:val="00EA0C9F"/>
    <w:rsid w:val="00EA1107"/>
    <w:rsid w:val="00EA213D"/>
    <w:rsid w:val="00EA262F"/>
    <w:rsid w:val="00EA28C4"/>
    <w:rsid w:val="00EA3020"/>
    <w:rsid w:val="00EA311F"/>
    <w:rsid w:val="00EA3377"/>
    <w:rsid w:val="00EA5A3D"/>
    <w:rsid w:val="00EA5D39"/>
    <w:rsid w:val="00EA7755"/>
    <w:rsid w:val="00EA7A6E"/>
    <w:rsid w:val="00EA7CC2"/>
    <w:rsid w:val="00EB0007"/>
    <w:rsid w:val="00EB09F3"/>
    <w:rsid w:val="00EB121B"/>
    <w:rsid w:val="00EB1A10"/>
    <w:rsid w:val="00EB2D73"/>
    <w:rsid w:val="00EB3B8F"/>
    <w:rsid w:val="00EB4008"/>
    <w:rsid w:val="00EB5831"/>
    <w:rsid w:val="00EB5A92"/>
    <w:rsid w:val="00EB5AD8"/>
    <w:rsid w:val="00EB6483"/>
    <w:rsid w:val="00EB6639"/>
    <w:rsid w:val="00EB7048"/>
    <w:rsid w:val="00EB7210"/>
    <w:rsid w:val="00EB77AA"/>
    <w:rsid w:val="00EC044A"/>
    <w:rsid w:val="00EC137A"/>
    <w:rsid w:val="00EC169D"/>
    <w:rsid w:val="00EC1C0B"/>
    <w:rsid w:val="00EC255E"/>
    <w:rsid w:val="00EC2B12"/>
    <w:rsid w:val="00EC3476"/>
    <w:rsid w:val="00EC4CE1"/>
    <w:rsid w:val="00EC650C"/>
    <w:rsid w:val="00EC67EC"/>
    <w:rsid w:val="00EC6AAC"/>
    <w:rsid w:val="00EC7053"/>
    <w:rsid w:val="00EC7153"/>
    <w:rsid w:val="00EC780E"/>
    <w:rsid w:val="00ED005F"/>
    <w:rsid w:val="00ED0E87"/>
    <w:rsid w:val="00ED13A4"/>
    <w:rsid w:val="00ED2790"/>
    <w:rsid w:val="00ED280D"/>
    <w:rsid w:val="00ED2FEA"/>
    <w:rsid w:val="00ED4CD0"/>
    <w:rsid w:val="00ED4DC1"/>
    <w:rsid w:val="00ED68BA"/>
    <w:rsid w:val="00EE179A"/>
    <w:rsid w:val="00EE1BD9"/>
    <w:rsid w:val="00EE2634"/>
    <w:rsid w:val="00EE298F"/>
    <w:rsid w:val="00EE3A22"/>
    <w:rsid w:val="00EE3A7C"/>
    <w:rsid w:val="00EE4311"/>
    <w:rsid w:val="00EE4618"/>
    <w:rsid w:val="00EE488E"/>
    <w:rsid w:val="00EE4F8E"/>
    <w:rsid w:val="00EE5B59"/>
    <w:rsid w:val="00EE5BDA"/>
    <w:rsid w:val="00EE615B"/>
    <w:rsid w:val="00EE7AC5"/>
    <w:rsid w:val="00EF006C"/>
    <w:rsid w:val="00EF19B4"/>
    <w:rsid w:val="00EF2D6D"/>
    <w:rsid w:val="00EF3DEB"/>
    <w:rsid w:val="00EF4063"/>
    <w:rsid w:val="00EF4A8B"/>
    <w:rsid w:val="00EF5B70"/>
    <w:rsid w:val="00EF7AA8"/>
    <w:rsid w:val="00F007AC"/>
    <w:rsid w:val="00F01D9F"/>
    <w:rsid w:val="00F01E99"/>
    <w:rsid w:val="00F01ECD"/>
    <w:rsid w:val="00F03C61"/>
    <w:rsid w:val="00F03CB7"/>
    <w:rsid w:val="00F03EA1"/>
    <w:rsid w:val="00F0411E"/>
    <w:rsid w:val="00F04F9C"/>
    <w:rsid w:val="00F05B0B"/>
    <w:rsid w:val="00F067A2"/>
    <w:rsid w:val="00F06973"/>
    <w:rsid w:val="00F076FA"/>
    <w:rsid w:val="00F10870"/>
    <w:rsid w:val="00F12FE6"/>
    <w:rsid w:val="00F13519"/>
    <w:rsid w:val="00F14267"/>
    <w:rsid w:val="00F142B9"/>
    <w:rsid w:val="00F14C40"/>
    <w:rsid w:val="00F15639"/>
    <w:rsid w:val="00F16748"/>
    <w:rsid w:val="00F1732E"/>
    <w:rsid w:val="00F17398"/>
    <w:rsid w:val="00F17DB1"/>
    <w:rsid w:val="00F20862"/>
    <w:rsid w:val="00F22860"/>
    <w:rsid w:val="00F22F0B"/>
    <w:rsid w:val="00F22F73"/>
    <w:rsid w:val="00F23434"/>
    <w:rsid w:val="00F2408C"/>
    <w:rsid w:val="00F24142"/>
    <w:rsid w:val="00F24D12"/>
    <w:rsid w:val="00F24D17"/>
    <w:rsid w:val="00F25610"/>
    <w:rsid w:val="00F256C2"/>
    <w:rsid w:val="00F25AB9"/>
    <w:rsid w:val="00F263B0"/>
    <w:rsid w:val="00F26960"/>
    <w:rsid w:val="00F270DE"/>
    <w:rsid w:val="00F27223"/>
    <w:rsid w:val="00F27DF1"/>
    <w:rsid w:val="00F30F77"/>
    <w:rsid w:val="00F31D7B"/>
    <w:rsid w:val="00F35274"/>
    <w:rsid w:val="00F35EF1"/>
    <w:rsid w:val="00F362A0"/>
    <w:rsid w:val="00F37A30"/>
    <w:rsid w:val="00F37DE0"/>
    <w:rsid w:val="00F405FC"/>
    <w:rsid w:val="00F40ED4"/>
    <w:rsid w:val="00F4106A"/>
    <w:rsid w:val="00F41839"/>
    <w:rsid w:val="00F41CC2"/>
    <w:rsid w:val="00F423F5"/>
    <w:rsid w:val="00F4308A"/>
    <w:rsid w:val="00F43688"/>
    <w:rsid w:val="00F43A09"/>
    <w:rsid w:val="00F43B06"/>
    <w:rsid w:val="00F44377"/>
    <w:rsid w:val="00F44AB8"/>
    <w:rsid w:val="00F45EBE"/>
    <w:rsid w:val="00F46EA6"/>
    <w:rsid w:val="00F474B1"/>
    <w:rsid w:val="00F47930"/>
    <w:rsid w:val="00F51963"/>
    <w:rsid w:val="00F519AE"/>
    <w:rsid w:val="00F5206D"/>
    <w:rsid w:val="00F523BA"/>
    <w:rsid w:val="00F52485"/>
    <w:rsid w:val="00F52AA2"/>
    <w:rsid w:val="00F53252"/>
    <w:rsid w:val="00F5476A"/>
    <w:rsid w:val="00F5544A"/>
    <w:rsid w:val="00F5588C"/>
    <w:rsid w:val="00F55FF0"/>
    <w:rsid w:val="00F5631D"/>
    <w:rsid w:val="00F56772"/>
    <w:rsid w:val="00F6012C"/>
    <w:rsid w:val="00F60FDB"/>
    <w:rsid w:val="00F6151A"/>
    <w:rsid w:val="00F61955"/>
    <w:rsid w:val="00F637A7"/>
    <w:rsid w:val="00F63D90"/>
    <w:rsid w:val="00F6411B"/>
    <w:rsid w:val="00F64C4B"/>
    <w:rsid w:val="00F65417"/>
    <w:rsid w:val="00F66B38"/>
    <w:rsid w:val="00F67690"/>
    <w:rsid w:val="00F70337"/>
    <w:rsid w:val="00F71E47"/>
    <w:rsid w:val="00F72830"/>
    <w:rsid w:val="00F72955"/>
    <w:rsid w:val="00F730FC"/>
    <w:rsid w:val="00F732F1"/>
    <w:rsid w:val="00F73D0F"/>
    <w:rsid w:val="00F76923"/>
    <w:rsid w:val="00F77022"/>
    <w:rsid w:val="00F772AE"/>
    <w:rsid w:val="00F772E6"/>
    <w:rsid w:val="00F800D3"/>
    <w:rsid w:val="00F81054"/>
    <w:rsid w:val="00F8135F"/>
    <w:rsid w:val="00F8147F"/>
    <w:rsid w:val="00F81A28"/>
    <w:rsid w:val="00F81F88"/>
    <w:rsid w:val="00F8263A"/>
    <w:rsid w:val="00F82A7D"/>
    <w:rsid w:val="00F83EBB"/>
    <w:rsid w:val="00F8497B"/>
    <w:rsid w:val="00F857F1"/>
    <w:rsid w:val="00F85B2B"/>
    <w:rsid w:val="00F85BDE"/>
    <w:rsid w:val="00F87102"/>
    <w:rsid w:val="00F90F9C"/>
    <w:rsid w:val="00F91223"/>
    <w:rsid w:val="00F91CA2"/>
    <w:rsid w:val="00F91ED1"/>
    <w:rsid w:val="00F928FD"/>
    <w:rsid w:val="00F92AC6"/>
    <w:rsid w:val="00F92EA3"/>
    <w:rsid w:val="00F936BC"/>
    <w:rsid w:val="00F952CB"/>
    <w:rsid w:val="00F969D9"/>
    <w:rsid w:val="00F96EAA"/>
    <w:rsid w:val="00F9792B"/>
    <w:rsid w:val="00F97998"/>
    <w:rsid w:val="00FA1104"/>
    <w:rsid w:val="00FA1493"/>
    <w:rsid w:val="00FA2D8D"/>
    <w:rsid w:val="00FA2F7A"/>
    <w:rsid w:val="00FA4E8B"/>
    <w:rsid w:val="00FA6AC0"/>
    <w:rsid w:val="00FA6ACD"/>
    <w:rsid w:val="00FA7EA0"/>
    <w:rsid w:val="00FB2DE2"/>
    <w:rsid w:val="00FB389D"/>
    <w:rsid w:val="00FB3AE8"/>
    <w:rsid w:val="00FB3E41"/>
    <w:rsid w:val="00FB5B4B"/>
    <w:rsid w:val="00FB63E7"/>
    <w:rsid w:val="00FB6409"/>
    <w:rsid w:val="00FB76BA"/>
    <w:rsid w:val="00FC17EE"/>
    <w:rsid w:val="00FC3C66"/>
    <w:rsid w:val="00FC439E"/>
    <w:rsid w:val="00FC4D76"/>
    <w:rsid w:val="00FC7D20"/>
    <w:rsid w:val="00FD14DC"/>
    <w:rsid w:val="00FD1A3D"/>
    <w:rsid w:val="00FD3294"/>
    <w:rsid w:val="00FD33AB"/>
    <w:rsid w:val="00FD3501"/>
    <w:rsid w:val="00FD352D"/>
    <w:rsid w:val="00FD375B"/>
    <w:rsid w:val="00FD39DE"/>
    <w:rsid w:val="00FD3BD5"/>
    <w:rsid w:val="00FD50AD"/>
    <w:rsid w:val="00FD5ABD"/>
    <w:rsid w:val="00FD610D"/>
    <w:rsid w:val="00FD612E"/>
    <w:rsid w:val="00FD6587"/>
    <w:rsid w:val="00FD7789"/>
    <w:rsid w:val="00FD7E27"/>
    <w:rsid w:val="00FE00F1"/>
    <w:rsid w:val="00FE0395"/>
    <w:rsid w:val="00FE0568"/>
    <w:rsid w:val="00FE0E76"/>
    <w:rsid w:val="00FE0FA7"/>
    <w:rsid w:val="00FE1066"/>
    <w:rsid w:val="00FE12F2"/>
    <w:rsid w:val="00FE1BF6"/>
    <w:rsid w:val="00FE1CCE"/>
    <w:rsid w:val="00FE2274"/>
    <w:rsid w:val="00FE2E70"/>
    <w:rsid w:val="00FE348E"/>
    <w:rsid w:val="00FE39E9"/>
    <w:rsid w:val="00FE4F6F"/>
    <w:rsid w:val="00FE54EE"/>
    <w:rsid w:val="00FE5E0B"/>
    <w:rsid w:val="00FE687A"/>
    <w:rsid w:val="00FE7836"/>
    <w:rsid w:val="00FE78B2"/>
    <w:rsid w:val="00FE7F9D"/>
    <w:rsid w:val="00FF05B5"/>
    <w:rsid w:val="00FF0989"/>
    <w:rsid w:val="00FF235D"/>
    <w:rsid w:val="00FF2F81"/>
    <w:rsid w:val="00FF3102"/>
    <w:rsid w:val="00FF3CA4"/>
    <w:rsid w:val="00FF3D2E"/>
    <w:rsid w:val="00FF3E18"/>
    <w:rsid w:val="00FF3E56"/>
    <w:rsid w:val="00FF43F2"/>
    <w:rsid w:val="00FF4F1B"/>
    <w:rsid w:val="00FF525F"/>
    <w:rsid w:val="00FF5788"/>
    <w:rsid w:val="00FF58BD"/>
    <w:rsid w:val="00FF59CA"/>
    <w:rsid w:val="00FF7D80"/>
    <w:rsid w:val="01FE18BB"/>
    <w:rsid w:val="03430E80"/>
    <w:rsid w:val="039567B8"/>
    <w:rsid w:val="05540F58"/>
    <w:rsid w:val="06752989"/>
    <w:rsid w:val="07E83FBA"/>
    <w:rsid w:val="081A3D1C"/>
    <w:rsid w:val="08BE1E87"/>
    <w:rsid w:val="0ACE4561"/>
    <w:rsid w:val="0BD2369E"/>
    <w:rsid w:val="0DCD3A44"/>
    <w:rsid w:val="0E4C038D"/>
    <w:rsid w:val="0E5E0E2E"/>
    <w:rsid w:val="0EB617B8"/>
    <w:rsid w:val="10E23538"/>
    <w:rsid w:val="11C46000"/>
    <w:rsid w:val="164020D9"/>
    <w:rsid w:val="16FA0D85"/>
    <w:rsid w:val="182C6AAE"/>
    <w:rsid w:val="18C867D7"/>
    <w:rsid w:val="18DA0620"/>
    <w:rsid w:val="18E4376E"/>
    <w:rsid w:val="1B30319C"/>
    <w:rsid w:val="1BC90EAB"/>
    <w:rsid w:val="1CD75A11"/>
    <w:rsid w:val="1E335A5D"/>
    <w:rsid w:val="1EC51B95"/>
    <w:rsid w:val="1EF00CB2"/>
    <w:rsid w:val="1F8C459A"/>
    <w:rsid w:val="20CB0A1A"/>
    <w:rsid w:val="22164EE6"/>
    <w:rsid w:val="22D062CC"/>
    <w:rsid w:val="249C4847"/>
    <w:rsid w:val="2681708D"/>
    <w:rsid w:val="27A56A74"/>
    <w:rsid w:val="28163E74"/>
    <w:rsid w:val="28462C7C"/>
    <w:rsid w:val="28B7094D"/>
    <w:rsid w:val="2A70595F"/>
    <w:rsid w:val="2A7B5F86"/>
    <w:rsid w:val="2A971952"/>
    <w:rsid w:val="2C7A379B"/>
    <w:rsid w:val="2D0029C5"/>
    <w:rsid w:val="2F117DA3"/>
    <w:rsid w:val="2FF652B2"/>
    <w:rsid w:val="309F73BE"/>
    <w:rsid w:val="33B9673D"/>
    <w:rsid w:val="359715B3"/>
    <w:rsid w:val="35E03BE4"/>
    <w:rsid w:val="360C4B57"/>
    <w:rsid w:val="360E6688"/>
    <w:rsid w:val="361B053B"/>
    <w:rsid w:val="3650477D"/>
    <w:rsid w:val="36722D3B"/>
    <w:rsid w:val="36B0443C"/>
    <w:rsid w:val="373643D6"/>
    <w:rsid w:val="38830501"/>
    <w:rsid w:val="39EE310B"/>
    <w:rsid w:val="3A1B2E9E"/>
    <w:rsid w:val="3ABE3476"/>
    <w:rsid w:val="3B78559B"/>
    <w:rsid w:val="3C78332E"/>
    <w:rsid w:val="3C956A47"/>
    <w:rsid w:val="3D370FAD"/>
    <w:rsid w:val="3DBE27B4"/>
    <w:rsid w:val="3EBC5C51"/>
    <w:rsid w:val="40C51433"/>
    <w:rsid w:val="40CF2431"/>
    <w:rsid w:val="40CF6436"/>
    <w:rsid w:val="412D7EC7"/>
    <w:rsid w:val="41BC0AA6"/>
    <w:rsid w:val="420F650F"/>
    <w:rsid w:val="427C00FD"/>
    <w:rsid w:val="44F20BBB"/>
    <w:rsid w:val="460C2D5A"/>
    <w:rsid w:val="46583B2F"/>
    <w:rsid w:val="468431B2"/>
    <w:rsid w:val="46D4753B"/>
    <w:rsid w:val="471913C5"/>
    <w:rsid w:val="471E22C0"/>
    <w:rsid w:val="479D2C00"/>
    <w:rsid w:val="481530BA"/>
    <w:rsid w:val="49290EFD"/>
    <w:rsid w:val="49B2747B"/>
    <w:rsid w:val="49D0526B"/>
    <w:rsid w:val="4C121D12"/>
    <w:rsid w:val="4C124E20"/>
    <w:rsid w:val="4C254213"/>
    <w:rsid w:val="4CE950AA"/>
    <w:rsid w:val="4CEA6BAF"/>
    <w:rsid w:val="4F52541D"/>
    <w:rsid w:val="54504E19"/>
    <w:rsid w:val="54697490"/>
    <w:rsid w:val="54AD33F4"/>
    <w:rsid w:val="54C84D9D"/>
    <w:rsid w:val="54E65AEA"/>
    <w:rsid w:val="55344AA7"/>
    <w:rsid w:val="55780C47"/>
    <w:rsid w:val="57A203EE"/>
    <w:rsid w:val="57AE2523"/>
    <w:rsid w:val="57B44053"/>
    <w:rsid w:val="57C62F0A"/>
    <w:rsid w:val="58F4493A"/>
    <w:rsid w:val="58F56160"/>
    <w:rsid w:val="596406A3"/>
    <w:rsid w:val="59C0089F"/>
    <w:rsid w:val="59DB5399"/>
    <w:rsid w:val="5B9938B6"/>
    <w:rsid w:val="5F5153EE"/>
    <w:rsid w:val="60105529"/>
    <w:rsid w:val="60D94755"/>
    <w:rsid w:val="615141C7"/>
    <w:rsid w:val="620E0F29"/>
    <w:rsid w:val="623041D4"/>
    <w:rsid w:val="62572C01"/>
    <w:rsid w:val="63386C51"/>
    <w:rsid w:val="63AA59F3"/>
    <w:rsid w:val="63C8213D"/>
    <w:rsid w:val="64712CEA"/>
    <w:rsid w:val="6536623C"/>
    <w:rsid w:val="6671359E"/>
    <w:rsid w:val="669E404B"/>
    <w:rsid w:val="66C0372C"/>
    <w:rsid w:val="67D62259"/>
    <w:rsid w:val="695E2CD9"/>
    <w:rsid w:val="69F04A6B"/>
    <w:rsid w:val="6A98708D"/>
    <w:rsid w:val="6B723554"/>
    <w:rsid w:val="6BD50652"/>
    <w:rsid w:val="6BF43F98"/>
    <w:rsid w:val="6D236DC8"/>
    <w:rsid w:val="6DAD5ECC"/>
    <w:rsid w:val="70CC4828"/>
    <w:rsid w:val="71F27A24"/>
    <w:rsid w:val="73D01F91"/>
    <w:rsid w:val="74742074"/>
    <w:rsid w:val="75D5316F"/>
    <w:rsid w:val="760936EE"/>
    <w:rsid w:val="769928BD"/>
    <w:rsid w:val="77C91867"/>
    <w:rsid w:val="78772ED9"/>
    <w:rsid w:val="78D42522"/>
    <w:rsid w:val="78E81E06"/>
    <w:rsid w:val="7946101A"/>
    <w:rsid w:val="799B2D06"/>
    <w:rsid w:val="7A3D6B4D"/>
    <w:rsid w:val="7AFF11A2"/>
    <w:rsid w:val="7C34659F"/>
    <w:rsid w:val="7D606455"/>
    <w:rsid w:val="7DEC032F"/>
    <w:rsid w:val="7E8824A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4"/>
    <w:next w:val="5"/>
    <w:link w:val="64"/>
    <w:unhideWhenUsed/>
    <w:qFormat/>
    <w:uiPriority w:val="9"/>
    <w:pPr>
      <w:keepNext/>
      <w:keepLines/>
      <w:spacing w:before="260" w:after="260" w:line="416" w:lineRule="auto"/>
      <w:outlineLvl w:val="1"/>
    </w:pPr>
    <w:rPr>
      <w:rFonts w:asciiTheme="majorHAnsi" w:hAnsiTheme="majorHAnsi" w:eastAsiaTheme="majorEastAsia" w:cstheme="majorBidi"/>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Subtitle"/>
    <w:basedOn w:val="1"/>
    <w:next w:val="1"/>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5">
    <w:name w:val="Normal Indent"/>
    <w:basedOn w:val="1"/>
    <w:next w:val="6"/>
    <w:link w:val="51"/>
    <w:qFormat/>
    <w:uiPriority w:val="0"/>
    <w:pPr>
      <w:ind w:firstLine="420"/>
    </w:pPr>
    <w:rPr>
      <w:rFonts w:eastAsia="仿宋_GB2312"/>
      <w:szCs w:val="20"/>
    </w:rPr>
  </w:style>
  <w:style w:type="paragraph" w:styleId="6">
    <w:name w:val="toc 1"/>
    <w:basedOn w:val="1"/>
    <w:next w:val="1"/>
    <w:unhideWhenUsed/>
    <w:qFormat/>
    <w:uiPriority w:val="39"/>
    <w:pPr>
      <w:tabs>
        <w:tab w:val="left" w:pos="420"/>
        <w:tab w:val="right" w:leader="dot" w:pos="8296"/>
      </w:tabs>
      <w:spacing w:line="360" w:lineRule="auto"/>
    </w:pPr>
  </w:style>
  <w:style w:type="paragraph" w:styleId="7">
    <w:name w:val="annotation text"/>
    <w:basedOn w:val="1"/>
    <w:link w:val="42"/>
    <w:unhideWhenUsed/>
    <w:qFormat/>
    <w:uiPriority w:val="99"/>
    <w:pPr>
      <w:jc w:val="left"/>
    </w:pPr>
    <w:rPr>
      <w:rFonts w:ascii="Calibri" w:hAnsi="Calibri" w:eastAsia="宋体" w:cs="Times New Roman"/>
    </w:rPr>
  </w:style>
  <w:style w:type="paragraph" w:styleId="8">
    <w:name w:val="Body Text"/>
    <w:basedOn w:val="1"/>
    <w:qFormat/>
    <w:uiPriority w:val="0"/>
    <w:pPr>
      <w:widowControl/>
      <w:snapToGrid w:val="0"/>
      <w:spacing w:before="60" w:after="160" w:line="259" w:lineRule="auto"/>
      <w:ind w:right="113"/>
    </w:pPr>
    <w:rPr>
      <w:kern w:val="0"/>
      <w:sz w:val="18"/>
      <w:szCs w:val="20"/>
    </w:rPr>
  </w:style>
  <w:style w:type="paragraph" w:styleId="9">
    <w:name w:val="Block Text"/>
    <w:basedOn w:val="1"/>
    <w:qFormat/>
    <w:uiPriority w:val="0"/>
    <w:pPr>
      <w:numPr>
        <w:ilvl w:val="0"/>
        <w:numId w:val="1"/>
      </w:numPr>
      <w:spacing w:line="360" w:lineRule="auto"/>
      <w:ind w:left="-57" w:firstLine="480"/>
    </w:pPr>
    <w:rPr>
      <w:kern w:val="0"/>
      <w:sz w:val="24"/>
      <w:szCs w:val="20"/>
    </w:rPr>
  </w:style>
  <w:style w:type="paragraph" w:styleId="10">
    <w:name w:val="toc 3"/>
    <w:basedOn w:val="1"/>
    <w:next w:val="1"/>
    <w:semiHidden/>
    <w:unhideWhenUsed/>
    <w:qFormat/>
    <w:uiPriority w:val="39"/>
    <w:pPr>
      <w:widowControl/>
      <w:spacing w:after="100" w:line="276" w:lineRule="auto"/>
      <w:ind w:left="440"/>
      <w:jc w:val="left"/>
    </w:pPr>
    <w:rPr>
      <w:kern w:val="0"/>
      <w:sz w:val="22"/>
    </w:rPr>
  </w:style>
  <w:style w:type="paragraph" w:styleId="11">
    <w:name w:val="Plain Text"/>
    <w:basedOn w:val="1"/>
    <w:link w:val="53"/>
    <w:qFormat/>
    <w:uiPriority w:val="0"/>
    <w:rPr>
      <w:rFonts w:ascii="宋体" w:hAnsi="Courier New" w:eastAsia="宋体" w:cs="Times New Roman"/>
      <w:szCs w:val="20"/>
      <w:lang w:val="zh-CN"/>
    </w:rPr>
  </w:style>
  <w:style w:type="paragraph" w:styleId="12">
    <w:name w:val="Balloon Text"/>
    <w:basedOn w:val="1"/>
    <w:link w:val="31"/>
    <w:semiHidden/>
    <w:unhideWhenUsed/>
    <w:qFormat/>
    <w:uiPriority w:val="99"/>
    <w:rPr>
      <w:sz w:val="18"/>
      <w:szCs w:val="18"/>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46"/>
    <w:qFormat/>
    <w:uiPriority w:val="0"/>
    <w:pPr>
      <w:spacing w:line="300" w:lineRule="auto"/>
      <w:ind w:left="210" w:hanging="210" w:hangingChars="100"/>
      <w:jc w:val="center"/>
    </w:pPr>
    <w:rPr>
      <w:rFonts w:ascii="Times New Roman" w:hAnsi="Times New Roman" w:eastAsia="宋体" w:cs="Times New Roman"/>
      <w:szCs w:val="20"/>
    </w:rPr>
  </w:style>
  <w:style w:type="paragraph" w:styleId="16">
    <w:name w:val="toc 2"/>
    <w:basedOn w:val="1"/>
    <w:next w:val="1"/>
    <w:unhideWhenUsed/>
    <w:qFormat/>
    <w:uiPriority w:val="39"/>
    <w:pPr>
      <w:widowControl/>
      <w:spacing w:after="100" w:line="276" w:lineRule="auto"/>
      <w:ind w:left="220"/>
      <w:jc w:val="left"/>
    </w:pPr>
    <w:rPr>
      <w:kern w:val="0"/>
      <w:sz w:val="22"/>
    </w:rPr>
  </w:style>
  <w:style w:type="paragraph" w:styleId="17">
    <w:name w:val="Normal (Web)"/>
    <w:basedOn w:val="1"/>
    <w:unhideWhenUsed/>
    <w:qFormat/>
    <w:uiPriority w:val="99"/>
    <w:rPr>
      <w:sz w:val="24"/>
    </w:rPr>
  </w:style>
  <w:style w:type="paragraph" w:styleId="18">
    <w:name w:val="annotation subject"/>
    <w:basedOn w:val="7"/>
    <w:next w:val="7"/>
    <w:link w:val="43"/>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Emphasis"/>
    <w:basedOn w:val="21"/>
    <w:qFormat/>
    <w:uiPriority w:val="20"/>
    <w:rPr>
      <w:i/>
      <w:iCs/>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styleId="24">
    <w:name w:val="annotation reference"/>
    <w:basedOn w:val="21"/>
    <w:unhideWhenUsed/>
    <w:qFormat/>
    <w:uiPriority w:val="99"/>
    <w:rPr>
      <w:sz w:val="21"/>
      <w:szCs w:val="21"/>
    </w:rPr>
  </w:style>
  <w:style w:type="table" w:customStyle="1" w:styleId="25">
    <w:name w:val="样式7"/>
    <w:basedOn w:val="19"/>
    <w:qFormat/>
    <w:uiPriority w:val="0"/>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blStylePr w:type="firstRow">
      <w:rPr>
        <w:b/>
      </w:rPr>
    </w:tblStylePr>
  </w:style>
  <w:style w:type="paragraph" w:styleId="26">
    <w:name w:val="List Paragraph"/>
    <w:basedOn w:val="1"/>
    <w:link w:val="59"/>
    <w:qFormat/>
    <w:uiPriority w:val="1"/>
    <w:pPr>
      <w:ind w:firstLine="420" w:firstLineChars="200"/>
    </w:pPr>
  </w:style>
  <w:style w:type="character" w:customStyle="1" w:styleId="27">
    <w:name w:val="页眉 Char"/>
    <w:basedOn w:val="21"/>
    <w:link w:val="14"/>
    <w:qFormat/>
    <w:uiPriority w:val="99"/>
    <w:rPr>
      <w:sz w:val="18"/>
      <w:szCs w:val="18"/>
    </w:rPr>
  </w:style>
  <w:style w:type="character" w:customStyle="1" w:styleId="28">
    <w:name w:val="页脚 Char"/>
    <w:basedOn w:val="21"/>
    <w:link w:val="13"/>
    <w:qFormat/>
    <w:uiPriority w:val="99"/>
    <w:rPr>
      <w:sz w:val="18"/>
      <w:szCs w:val="18"/>
    </w:rPr>
  </w:style>
  <w:style w:type="character" w:customStyle="1" w:styleId="29">
    <w:name w:val="正文 Char Char"/>
    <w:link w:val="30"/>
    <w:qFormat/>
    <w:uiPriority w:val="0"/>
    <w:rPr>
      <w:sz w:val="24"/>
    </w:rPr>
  </w:style>
  <w:style w:type="paragraph" w:customStyle="1" w:styleId="30">
    <w:name w:val="正文1"/>
    <w:link w:val="29"/>
    <w:qFormat/>
    <w:uiPriority w:val="0"/>
    <w:pPr>
      <w:spacing w:line="360" w:lineRule="auto"/>
      <w:ind w:firstLine="200" w:firstLineChars="200"/>
    </w:pPr>
    <w:rPr>
      <w:rFonts w:asciiTheme="minorHAnsi" w:hAnsiTheme="minorHAnsi" w:eastAsiaTheme="minorEastAsia" w:cstheme="minorBidi"/>
      <w:kern w:val="2"/>
      <w:sz w:val="24"/>
      <w:szCs w:val="22"/>
      <w:lang w:val="en-US" w:eastAsia="zh-CN" w:bidi="ar-SA"/>
    </w:rPr>
  </w:style>
  <w:style w:type="character" w:customStyle="1" w:styleId="31">
    <w:name w:val="批注框文本 Char"/>
    <w:basedOn w:val="21"/>
    <w:link w:val="12"/>
    <w:semiHidden/>
    <w:qFormat/>
    <w:uiPriority w:val="99"/>
    <w:rPr>
      <w:sz w:val="18"/>
      <w:szCs w:val="18"/>
    </w:rPr>
  </w:style>
  <w:style w:type="table" w:customStyle="1" w:styleId="32">
    <w:name w:val="灰度表格1221"/>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灰度表格1222"/>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4">
    <w:name w:val="标题 1 Char"/>
    <w:basedOn w:val="21"/>
    <w:link w:val="2"/>
    <w:qFormat/>
    <w:uiPriority w:val="9"/>
    <w:rPr>
      <w:b/>
      <w:bCs/>
      <w:kern w:val="44"/>
      <w:sz w:val="44"/>
      <w:szCs w:val="44"/>
    </w:rPr>
  </w:style>
  <w:style w:type="paragraph" w:customStyle="1" w:styleId="35">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报告书表格 Char"/>
    <w:link w:val="37"/>
    <w:qFormat/>
    <w:uiPriority w:val="0"/>
  </w:style>
  <w:style w:type="paragraph" w:customStyle="1" w:styleId="37">
    <w:name w:val="报告书表格"/>
    <w:basedOn w:val="1"/>
    <w:link w:val="36"/>
    <w:qFormat/>
    <w:uiPriority w:val="0"/>
    <w:pPr>
      <w:adjustRightInd w:val="0"/>
      <w:spacing w:before="60" w:after="60" w:line="240" w:lineRule="atLeast"/>
      <w:jc w:val="center"/>
      <w:textAlignment w:val="baseline"/>
    </w:pPr>
  </w:style>
  <w:style w:type="character" w:customStyle="1" w:styleId="38">
    <w:name w:val="中文报告书样式 Char"/>
    <w:link w:val="39"/>
    <w:qFormat/>
    <w:uiPriority w:val="0"/>
    <w:rPr>
      <w:rFonts w:eastAsia="宋体"/>
      <w:kern w:val="24"/>
      <w:sz w:val="24"/>
    </w:rPr>
  </w:style>
  <w:style w:type="paragraph" w:customStyle="1" w:styleId="39">
    <w:name w:val="中文报告书样式"/>
    <w:basedOn w:val="1"/>
    <w:link w:val="38"/>
    <w:qFormat/>
    <w:uiPriority w:val="0"/>
    <w:pPr>
      <w:adjustRightInd w:val="0"/>
      <w:spacing w:line="480" w:lineRule="atLeast"/>
      <w:ind w:firstLine="482"/>
      <w:textAlignment w:val="baseline"/>
    </w:pPr>
    <w:rPr>
      <w:rFonts w:eastAsia="宋体"/>
      <w:kern w:val="24"/>
      <w:sz w:val="24"/>
    </w:rPr>
  </w:style>
  <w:style w:type="character" w:customStyle="1" w:styleId="40">
    <w:name w:val="表格文字 Char"/>
    <w:link w:val="41"/>
    <w:qFormat/>
    <w:uiPriority w:val="0"/>
    <w:rPr>
      <w:rFonts w:eastAsia="Arial"/>
      <w:szCs w:val="24"/>
    </w:rPr>
  </w:style>
  <w:style w:type="paragraph" w:customStyle="1" w:styleId="41">
    <w:name w:val="表格文字"/>
    <w:basedOn w:val="8"/>
    <w:link w:val="40"/>
    <w:qFormat/>
    <w:uiPriority w:val="0"/>
    <w:pPr>
      <w:jc w:val="center"/>
    </w:pPr>
    <w:rPr>
      <w:rFonts w:eastAsia="Arial"/>
      <w:szCs w:val="24"/>
    </w:rPr>
  </w:style>
  <w:style w:type="character" w:customStyle="1" w:styleId="42">
    <w:name w:val="批注文字 Char"/>
    <w:basedOn w:val="21"/>
    <w:link w:val="7"/>
    <w:semiHidden/>
    <w:qFormat/>
    <w:uiPriority w:val="99"/>
  </w:style>
  <w:style w:type="character" w:customStyle="1" w:styleId="43">
    <w:name w:val="批注主题 Char"/>
    <w:basedOn w:val="42"/>
    <w:link w:val="18"/>
    <w:semiHidden/>
    <w:qFormat/>
    <w:uiPriority w:val="99"/>
    <w:rPr>
      <w:b/>
      <w:bCs/>
    </w:rPr>
  </w:style>
  <w:style w:type="paragraph" w:customStyle="1" w:styleId="44">
    <w:name w:val="中文报告书"/>
    <w:basedOn w:val="1"/>
    <w:link w:val="45"/>
    <w:qFormat/>
    <w:uiPriority w:val="0"/>
    <w:pPr>
      <w:adjustRightInd w:val="0"/>
      <w:spacing w:after="80" w:line="420" w:lineRule="atLeast"/>
      <w:jc w:val="left"/>
      <w:textAlignment w:val="baseline"/>
    </w:pPr>
    <w:rPr>
      <w:rFonts w:ascii="Times New Roman" w:hAnsi="Times New Roman" w:eastAsia="宋体" w:cs="Times New Roman"/>
      <w:kern w:val="0"/>
      <w:sz w:val="24"/>
      <w:szCs w:val="20"/>
    </w:rPr>
  </w:style>
  <w:style w:type="character" w:customStyle="1" w:styleId="45">
    <w:name w:val="中文报告书 Char"/>
    <w:link w:val="44"/>
    <w:qFormat/>
    <w:uiPriority w:val="0"/>
    <w:rPr>
      <w:sz w:val="24"/>
    </w:rPr>
  </w:style>
  <w:style w:type="character" w:customStyle="1" w:styleId="46">
    <w:name w:val="正文文本缩进 3 Char"/>
    <w:basedOn w:val="21"/>
    <w:link w:val="15"/>
    <w:qFormat/>
    <w:uiPriority w:val="0"/>
    <w:rPr>
      <w:kern w:val="2"/>
      <w:sz w:val="21"/>
    </w:rPr>
  </w:style>
  <w:style w:type="paragraph" w:customStyle="1" w:styleId="4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8">
    <w:name w:val="a"/>
    <w:basedOn w:val="1"/>
    <w:qFormat/>
    <w:uiPriority w:val="0"/>
    <w:pPr>
      <w:widowControl/>
      <w:spacing w:after="80" w:line="420" w:lineRule="atLeast"/>
      <w:jc w:val="left"/>
    </w:pPr>
    <w:rPr>
      <w:rFonts w:ascii="宋体" w:hAnsi="宋体" w:eastAsia="宋体" w:cs="宋体"/>
      <w:kern w:val="0"/>
      <w:sz w:val="24"/>
      <w:szCs w:val="24"/>
    </w:rPr>
  </w:style>
  <w:style w:type="table" w:customStyle="1" w:styleId="49">
    <w:name w:val="样式1"/>
    <w:basedOn w:val="19"/>
    <w:qFormat/>
    <w:uiPriority w:val="0"/>
    <w:pPr>
      <w:jc w:val="center"/>
    </w:pPr>
    <w:rPr>
      <w:rFonts w:ascii="Calibri" w:hAnsi="Calibri"/>
      <w:sz w:val="21"/>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tblStylePr w:type="firstRow">
      <w:tcPr>
        <w:tcBorders>
          <w:top w:val="single" w:color="auto" w:sz="12" w:space="0"/>
        </w:tcBorders>
      </w:tcPr>
    </w:tblStylePr>
    <w:tblStylePr w:type="lastRow">
      <w:pPr>
        <w:jc w:val="center"/>
      </w:pPr>
      <w:rPr>
        <w:rFonts w:ascii="Times New Roman" w:hAnsi="Times New Roman" w:eastAsia="宋体"/>
      </w:rPr>
      <w:tcPr>
        <w:tcBorders>
          <w:top w:val="nil"/>
          <w:bottom w:val="single" w:color="auto" w:sz="12" w:space="0"/>
        </w:tcBorders>
      </w:tcPr>
    </w:tblStylePr>
  </w:style>
  <w:style w:type="paragraph" w:customStyle="1" w:styleId="50">
    <w:name w:val="表格加粗"/>
    <w:basedOn w:val="1"/>
    <w:qFormat/>
    <w:uiPriority w:val="0"/>
    <w:pPr>
      <w:jc w:val="center"/>
    </w:pPr>
    <w:rPr>
      <w:rFonts w:ascii="Times New Roman" w:hAnsi="Times New Roman" w:eastAsia="宋体" w:cs="Times New Roman"/>
      <w:b/>
      <w:szCs w:val="20"/>
    </w:rPr>
  </w:style>
  <w:style w:type="character" w:customStyle="1" w:styleId="51">
    <w:name w:val="正文缩进 Char"/>
    <w:link w:val="5"/>
    <w:qFormat/>
    <w:uiPriority w:val="0"/>
    <w:rPr>
      <w:rFonts w:eastAsia="仿宋_GB2312" w:asciiTheme="minorHAnsi" w:hAnsiTheme="minorHAnsi" w:cstheme="minorBidi"/>
      <w:kern w:val="2"/>
      <w:sz w:val="21"/>
    </w:rPr>
  </w:style>
  <w:style w:type="character" w:customStyle="1" w:styleId="52">
    <w:name w:val="批注文字 Char1"/>
    <w:qFormat/>
    <w:uiPriority w:val="99"/>
    <w:rPr>
      <w:kern w:val="2"/>
      <w:sz w:val="21"/>
      <w:szCs w:val="24"/>
    </w:rPr>
  </w:style>
  <w:style w:type="character" w:customStyle="1" w:styleId="53">
    <w:name w:val="纯文本 Char"/>
    <w:basedOn w:val="21"/>
    <w:link w:val="11"/>
    <w:qFormat/>
    <w:uiPriority w:val="0"/>
    <w:rPr>
      <w:rFonts w:ascii="宋体" w:hAnsi="Courier New"/>
      <w:kern w:val="2"/>
      <w:sz w:val="21"/>
      <w:lang w:val="zh-CN" w:eastAsia="zh-CN"/>
    </w:rPr>
  </w:style>
  <w:style w:type="character" w:customStyle="1" w:styleId="54">
    <w:name w:val="中文报告书样式 Char1"/>
    <w:qFormat/>
    <w:uiPriority w:val="0"/>
    <w:rPr>
      <w:kern w:val="24"/>
      <w:sz w:val="24"/>
    </w:rPr>
  </w:style>
  <w:style w:type="paragraph" w:customStyle="1" w:styleId="55">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56">
    <w:name w:val="环评正文"/>
    <w:basedOn w:val="1"/>
    <w:link w:val="57"/>
    <w:qFormat/>
    <w:uiPriority w:val="0"/>
    <w:pPr>
      <w:spacing w:line="360" w:lineRule="auto"/>
      <w:ind w:firstLine="200" w:firstLineChars="200"/>
    </w:pPr>
    <w:rPr>
      <w:rFonts w:ascii="Times New Roman" w:hAnsi="Times New Roman" w:eastAsia="宋体" w:cs="Times New Roman"/>
      <w:sz w:val="24"/>
      <w:szCs w:val="24"/>
    </w:rPr>
  </w:style>
  <w:style w:type="character" w:customStyle="1" w:styleId="57">
    <w:name w:val="环评正文 Char"/>
    <w:basedOn w:val="21"/>
    <w:link w:val="56"/>
    <w:qFormat/>
    <w:uiPriority w:val="0"/>
    <w:rPr>
      <w:kern w:val="2"/>
      <w:sz w:val="24"/>
      <w:szCs w:val="24"/>
    </w:rPr>
  </w:style>
  <w:style w:type="table" w:customStyle="1" w:styleId="58">
    <w:name w:val="网格型12"/>
    <w:basedOn w:val="19"/>
    <w:qFormat/>
    <w:uiPriority w:val="59"/>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9">
    <w:name w:val="列出段落 Char"/>
    <w:link w:val="26"/>
    <w:qFormat/>
    <w:uiPriority w:val="34"/>
    <w:rPr>
      <w:rFonts w:asciiTheme="minorHAnsi" w:hAnsiTheme="minorHAnsi" w:eastAsiaTheme="minorEastAsia" w:cstheme="minorBidi"/>
      <w:kern w:val="2"/>
      <w:sz w:val="21"/>
      <w:szCs w:val="22"/>
    </w:rPr>
  </w:style>
  <w:style w:type="paragraph" w:customStyle="1" w:styleId="60">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61">
    <w:name w:val="msolistparagraph"/>
    <w:basedOn w:val="1"/>
    <w:qFormat/>
    <w:uiPriority w:val="0"/>
    <w:pPr>
      <w:ind w:firstLine="420" w:firstLineChars="200"/>
    </w:pPr>
    <w:rPr>
      <w:rFonts w:ascii="Times New Roman" w:hAnsi="Times New Roman" w:eastAsia="宋体" w:cs="Times New Roman"/>
    </w:rPr>
  </w:style>
  <w:style w:type="table" w:customStyle="1" w:styleId="62">
    <w:name w:val="表格类型3"/>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63">
    <w:name w:val="Table Paragraph"/>
    <w:basedOn w:val="1"/>
    <w:unhideWhenUsed/>
    <w:qFormat/>
    <w:uiPriority w:val="1"/>
    <w:pPr>
      <w:autoSpaceDE w:val="0"/>
      <w:autoSpaceDN w:val="0"/>
      <w:jc w:val="center"/>
    </w:pPr>
    <w:rPr>
      <w:rFonts w:hint="eastAsia" w:ascii="Noto Sans CJK JP Black" w:hAnsi="Noto Sans CJK JP Black" w:eastAsia="Noto Sans CJK JP Black" w:cs="Noto Sans CJK JP Black"/>
      <w:sz w:val="22"/>
    </w:rPr>
  </w:style>
  <w:style w:type="character" w:customStyle="1" w:styleId="64">
    <w:name w:val="标题 2 Char"/>
    <w:basedOn w:val="21"/>
    <w:link w:val="3"/>
    <w:qFormat/>
    <w:uiPriority w:val="9"/>
    <w:rPr>
      <w:rFonts w:asciiTheme="majorHAnsi" w:hAnsiTheme="majorHAnsi" w:eastAsiaTheme="majorEastAsia" w:cstheme="majorBidi"/>
      <w:b/>
      <w:bCs/>
      <w:kern w:val="2"/>
      <w:sz w:val="32"/>
      <w:szCs w:val="32"/>
    </w:rPr>
  </w:style>
  <w:style w:type="paragraph" w:customStyle="1" w:styleId="65">
    <w:name w:val="列表段落1"/>
    <w:basedOn w:val="1"/>
    <w:qFormat/>
    <w:uiPriority w:val="34"/>
    <w:pPr>
      <w:ind w:firstLine="420" w:firstLineChars="200"/>
    </w:pPr>
    <w:rPr>
      <w:rFonts w:ascii="Times New Roman" w:hAnsi="Times New Roman" w:eastAsia="宋体" w:cs="Times New Roman"/>
      <w:color w:val="000000"/>
      <w:kern w:val="24"/>
      <w:sz w:val="24"/>
      <w:szCs w:val="20"/>
    </w:rPr>
  </w:style>
  <w:style w:type="character" w:customStyle="1" w:styleId="66">
    <w:name w:val="font121"/>
    <w:basedOn w:val="21"/>
    <w:qFormat/>
    <w:uiPriority w:val="0"/>
    <w:rPr>
      <w:rFonts w:hint="default" w:ascii="Times New Roman" w:hAnsi="Times New Roman" w:cs="Times New Roman"/>
      <w:color w:val="000000"/>
      <w:sz w:val="22"/>
      <w:szCs w:val="22"/>
      <w:u w:val="none"/>
    </w:rPr>
  </w:style>
  <w:style w:type="character" w:customStyle="1" w:styleId="67">
    <w:name w:val="font11"/>
    <w:basedOn w:val="21"/>
    <w:qFormat/>
    <w:uiPriority w:val="0"/>
    <w:rPr>
      <w:rFonts w:hint="eastAsia" w:ascii="宋体" w:hAnsi="宋体" w:eastAsia="宋体"/>
      <w:color w:val="000000"/>
      <w:sz w:val="21"/>
      <w:szCs w:val="21"/>
      <w:u w:val="none"/>
    </w:rPr>
  </w:style>
  <w:style w:type="character" w:customStyle="1" w:styleId="68">
    <w:name w:val="font41"/>
    <w:basedOn w:val="21"/>
    <w:qFormat/>
    <w:uiPriority w:val="0"/>
    <w:rPr>
      <w:rFonts w:hint="default" w:ascii="Calibri" w:hAnsi="Calibri" w:cs="Calibri"/>
      <w:color w:val="FF0000"/>
      <w:sz w:val="21"/>
      <w:szCs w:val="21"/>
      <w:u w:val="none"/>
    </w:rPr>
  </w:style>
  <w:style w:type="character" w:customStyle="1" w:styleId="69">
    <w:name w:val="font21"/>
    <w:basedOn w:val="21"/>
    <w:qFormat/>
    <w:uiPriority w:val="0"/>
    <w:rPr>
      <w:rFonts w:hint="eastAsia" w:ascii="等线" w:hAnsi="等线" w:eastAsia="等线"/>
      <w:color w:val="FF0000"/>
      <w:sz w:val="21"/>
      <w:szCs w:val="21"/>
      <w:u w:val="none"/>
    </w:rPr>
  </w:style>
  <w:style w:type="paragraph" w:customStyle="1" w:styleId="70">
    <w:name w:val="报告表正文"/>
    <w:basedOn w:val="1"/>
    <w:link w:val="71"/>
    <w:qFormat/>
    <w:uiPriority w:val="0"/>
    <w:pPr>
      <w:adjustRightInd w:val="0"/>
      <w:snapToGrid w:val="0"/>
      <w:spacing w:line="480" w:lineRule="exact"/>
      <w:ind w:firstLine="200" w:firstLineChars="200"/>
      <w:textAlignment w:val="center"/>
    </w:pPr>
    <w:rPr>
      <w:rFonts w:ascii="Times New Roman" w:hAnsi="Times New Roman" w:eastAsia="宋体" w:cs="Times New Roman"/>
      <w:sz w:val="24"/>
      <w:szCs w:val="24"/>
    </w:rPr>
  </w:style>
  <w:style w:type="character" w:customStyle="1" w:styleId="71">
    <w:name w:val="报告表正文 Char"/>
    <w:link w:val="70"/>
    <w:qFormat/>
    <w:uiPriority w:val="0"/>
    <w:rPr>
      <w:kern w:val="2"/>
      <w:sz w:val="24"/>
      <w:szCs w:val="24"/>
    </w:rPr>
  </w:style>
  <w:style w:type="character" w:customStyle="1" w:styleId="72">
    <w:name w:val="font31"/>
    <w:basedOn w:val="21"/>
    <w:qFormat/>
    <w:uiPriority w:val="0"/>
    <w:rPr>
      <w:rFonts w:hint="default" w:ascii="Arial" w:hAnsi="Arial" w:cs="Arial"/>
      <w:color w:val="000000"/>
      <w:sz w:val="16"/>
      <w:szCs w:val="16"/>
      <w:u w:val="none"/>
    </w:rPr>
  </w:style>
  <w:style w:type="character" w:customStyle="1" w:styleId="73">
    <w:name w:val="font01"/>
    <w:basedOn w:val="21"/>
    <w:qFormat/>
    <w:uiPriority w:val="0"/>
    <w:rPr>
      <w:rFonts w:hint="default" w:ascii="Arial" w:hAnsi="Arial" w:cs="Arial"/>
      <w:color w:val="000000"/>
      <w:sz w:val="24"/>
      <w:szCs w:val="24"/>
      <w:u w:val="none"/>
    </w:rPr>
  </w:style>
  <w:style w:type="paragraph" w:customStyle="1" w:styleId="74">
    <w:name w:val="lh-正文-报告书"/>
    <w:qFormat/>
    <w:uiPriority w:val="0"/>
    <w:pPr>
      <w:widowControl w:val="0"/>
      <w:spacing w:line="360" w:lineRule="auto"/>
      <w:ind w:firstLine="200" w:firstLineChars="200"/>
      <w:jc w:val="both"/>
    </w:pPr>
    <w:rPr>
      <w:rFonts w:ascii="Times New Roman" w:hAnsi="Times New Roman" w:eastAsia="宋体" w:cs="Times New Roman"/>
      <w:snapToGrid w:val="0"/>
      <w:sz w:val="24"/>
      <w:szCs w:val="21"/>
      <w:lang w:val="en-GB" w:eastAsia="zh-CN" w:bidi="ar-SA"/>
    </w:rPr>
  </w:style>
  <w:style w:type="character" w:customStyle="1" w:styleId="75">
    <w:name w:val="标题 2宋旭峰 Char Char"/>
    <w:qFormat/>
    <w:uiPriority w:val="0"/>
    <w:rPr>
      <w:rFonts w:ascii="Times New Roman" w:hAnsi="Times New Roman" w:eastAsia="宋体"/>
      <w:bCs/>
      <w:kern w:val="2"/>
      <w:sz w:val="24"/>
      <w:szCs w:val="28"/>
      <w:lang w:val="en-US" w:eastAsia="zh-CN" w:bidi="ar-SA"/>
    </w:rPr>
  </w:style>
  <w:style w:type="paragraph" w:customStyle="1" w:styleId="76">
    <w:name w:val="Table Text"/>
    <w:basedOn w:val="1"/>
    <w:semiHidden/>
    <w:qFormat/>
    <w:uiPriority w:val="0"/>
    <w:rPr>
      <w:rFonts w:ascii="宋体" w:hAnsi="宋体" w:eastAsia="宋体" w:cs="宋体"/>
      <w:sz w:val="22"/>
      <w:szCs w:val="22"/>
      <w:lang w:val="en-US" w:eastAsia="en-US" w:bidi="ar-SA"/>
    </w:rPr>
  </w:style>
  <w:style w:type="table" w:customStyle="1" w:styleId="7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EEBEC3-9142-4BE4-9F26-9EDCE0D6118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2237</Words>
  <Characters>2557</Characters>
  <Lines>423</Lines>
  <Paragraphs>119</Paragraphs>
  <TotalTime>18</TotalTime>
  <ScaleCrop>false</ScaleCrop>
  <LinksUpToDate>false</LinksUpToDate>
  <CharactersWithSpaces>2606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2018-09-17T01:09:00Z</dcterms:created>
  <dc:creator>PC</dc:creator>
  <cp:lastModifiedBy>敏敏柯木儿</cp:lastModifiedBy>
  <cp:lastPrinted>2024-06-05T09:00:00Z</cp:lastPrinted>
  <dcterms:modified xsi:type="dcterms:W3CDTF">2026-02-26T09:47:08Z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88315BD901BA46218C7B1B883CC8CC82</vt:lpwstr>
  </property>
  <property fmtid="{D5CDD505-2E9C-101B-9397-08002B2CF9AE}" pid="3" name="KSOProductBuildVer">
    <vt:lpwstr>2052-12.1.0.25225</vt:lpwstr>
  </property>
  <property fmtid="{D5CDD505-2E9C-101B-9397-08002B2CF9AE}" pid="4" name="NXPowerLiteLastOptimized">
    <vt:lpwstr>894105</vt:lpwstr>
  </property>
  <property fmtid="{D5CDD505-2E9C-101B-9397-08002B2CF9AE}" pid="5" name="NXPowerLiteVersion">
    <vt:lpwstr>D4.1.4</vt:lpwstr>
  </property>
  <property fmtid="{D5CDD505-2E9C-101B-9397-08002B2CF9AE}" pid="6" name="KSOTemplateDocerSaveRecord">
    <vt:lpwstr>eyJoZGlkIjoiYWQ2MmZjZTY4ZDQ4MGU5OThhYzRkMjhiOTJmNTI0ZTAiLCJ1c2VySWQiOiIxMTQ1MjQzMDQ2In0=</vt:lpwstr>
  </property>
</Properties>
</file>