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88B04">
      <w:pPr>
        <w:pStyle w:val="8"/>
        <w:ind w:left="480" w:firstLine="480"/>
        <w:rPr>
          <w:rFonts w:eastAsia="宋体"/>
          <w:color w:val="FF0000"/>
        </w:rPr>
      </w:pPr>
    </w:p>
    <w:p w14:paraId="6433221F">
      <w:pPr>
        <w:pStyle w:val="8"/>
        <w:ind w:left="480" w:firstLine="480"/>
        <w:rPr>
          <w:rFonts w:eastAsia="宋体"/>
          <w:color w:val="FF0000"/>
        </w:rPr>
      </w:pPr>
    </w:p>
    <w:p w14:paraId="2AF653DC">
      <w:pPr>
        <w:pStyle w:val="8"/>
        <w:ind w:left="480" w:firstLine="480"/>
        <w:rPr>
          <w:rFonts w:eastAsia="宋体"/>
        </w:rPr>
      </w:pPr>
    </w:p>
    <w:p w14:paraId="5BEDDF04">
      <w:pPr>
        <w:pStyle w:val="8"/>
        <w:ind w:left="480" w:firstLine="480"/>
        <w:rPr>
          <w:rFonts w:eastAsia="宋体"/>
        </w:rPr>
      </w:pPr>
    </w:p>
    <w:p w14:paraId="16567B08">
      <w:pPr>
        <w:adjustRightInd/>
        <w:snapToGrid/>
        <w:ind w:firstLine="0" w:firstLineChars="0"/>
        <w:jc w:val="center"/>
        <w:rPr>
          <w:rFonts w:hint="eastAsia" w:eastAsia="宋体"/>
          <w:b/>
          <w:bCs/>
          <w:sz w:val="40"/>
          <w:szCs w:val="40"/>
          <w:lang w:eastAsia="zh-CN"/>
        </w:rPr>
      </w:pPr>
      <w:bookmarkStart w:id="0" w:name="_Toc483248741"/>
      <w:bookmarkStart w:id="1" w:name="_Toc24388"/>
      <w:bookmarkStart w:id="2" w:name="_Toc23846"/>
      <w:bookmarkStart w:id="3" w:name="_Toc25395"/>
      <w:bookmarkStart w:id="4" w:name="_Toc13955"/>
      <w:bookmarkStart w:id="5" w:name="_Toc2899"/>
      <w:bookmarkStart w:id="6" w:name="_Toc14304"/>
      <w:r>
        <w:rPr>
          <w:rFonts w:hint="eastAsia" w:eastAsia="宋体"/>
          <w:b/>
          <w:bCs/>
          <w:sz w:val="40"/>
          <w:szCs w:val="40"/>
          <w:lang w:eastAsia="zh-CN"/>
        </w:rPr>
        <w:t>茵梦达（天津）驱动技术有限公司</w:t>
      </w:r>
    </w:p>
    <w:p w14:paraId="0FE25643">
      <w:pPr>
        <w:adjustRightInd/>
        <w:snapToGrid/>
        <w:ind w:firstLine="0" w:firstLineChars="0"/>
        <w:jc w:val="center"/>
        <w:rPr>
          <w:rFonts w:hint="eastAsia" w:eastAsia="宋体"/>
          <w:b/>
          <w:bCs/>
          <w:sz w:val="40"/>
          <w:szCs w:val="40"/>
          <w:lang w:eastAsia="zh-CN"/>
        </w:rPr>
      </w:pPr>
      <w:r>
        <w:rPr>
          <w:rFonts w:hint="eastAsia" w:eastAsia="宋体"/>
          <w:b/>
          <w:bCs/>
          <w:sz w:val="40"/>
          <w:szCs w:val="40"/>
          <w:lang w:eastAsia="zh-CN"/>
        </w:rPr>
        <w:t>茵梦达（驱动技术）研发生产基地项目</w:t>
      </w:r>
    </w:p>
    <w:p w14:paraId="0B58E93E">
      <w:pPr>
        <w:adjustRightInd/>
        <w:snapToGrid/>
        <w:ind w:firstLine="0" w:firstLineChars="0"/>
        <w:jc w:val="center"/>
        <w:rPr>
          <w:rFonts w:eastAsia="宋体"/>
          <w:b/>
          <w:bCs/>
          <w:sz w:val="40"/>
          <w:szCs w:val="40"/>
        </w:rPr>
      </w:pPr>
      <w:r>
        <w:rPr>
          <w:rFonts w:hint="eastAsia" w:eastAsia="宋体"/>
          <w:b/>
          <w:bCs/>
          <w:sz w:val="40"/>
          <w:szCs w:val="40"/>
        </w:rPr>
        <w:t>环境影响评价</w:t>
      </w:r>
      <w:r>
        <w:rPr>
          <w:rFonts w:eastAsia="宋体"/>
          <w:b/>
          <w:bCs/>
          <w:sz w:val="40"/>
          <w:szCs w:val="40"/>
        </w:rPr>
        <w:t>公众参与说明</w:t>
      </w:r>
      <w:bookmarkEnd w:id="0"/>
      <w:bookmarkEnd w:id="1"/>
      <w:bookmarkEnd w:id="2"/>
      <w:bookmarkEnd w:id="3"/>
      <w:bookmarkEnd w:id="4"/>
      <w:bookmarkEnd w:id="5"/>
      <w:bookmarkEnd w:id="6"/>
    </w:p>
    <w:p w14:paraId="33F8D276">
      <w:pPr>
        <w:adjustRightInd/>
        <w:snapToGrid/>
        <w:ind w:firstLine="480"/>
        <w:rPr>
          <w:rFonts w:eastAsia="宋体"/>
        </w:rPr>
      </w:pPr>
    </w:p>
    <w:p w14:paraId="2FCA4294">
      <w:pPr>
        <w:adjustRightInd/>
        <w:snapToGrid/>
        <w:ind w:firstLine="480"/>
        <w:rPr>
          <w:rFonts w:eastAsia="宋体"/>
        </w:rPr>
      </w:pPr>
    </w:p>
    <w:p w14:paraId="334CA28B">
      <w:pPr>
        <w:adjustRightInd/>
        <w:snapToGrid/>
        <w:ind w:firstLine="480"/>
        <w:rPr>
          <w:rFonts w:eastAsia="宋体"/>
        </w:rPr>
      </w:pPr>
    </w:p>
    <w:p w14:paraId="4E1BABD1">
      <w:pPr>
        <w:adjustRightInd/>
        <w:snapToGrid/>
        <w:ind w:firstLine="480"/>
        <w:rPr>
          <w:rFonts w:eastAsia="宋体"/>
        </w:rPr>
      </w:pPr>
    </w:p>
    <w:p w14:paraId="7D1F3504">
      <w:pPr>
        <w:adjustRightInd/>
        <w:snapToGrid/>
        <w:ind w:firstLine="480"/>
        <w:rPr>
          <w:rFonts w:eastAsia="宋体"/>
        </w:rPr>
      </w:pPr>
    </w:p>
    <w:p w14:paraId="5C869D35">
      <w:pPr>
        <w:adjustRightInd/>
        <w:snapToGrid/>
        <w:ind w:firstLine="480"/>
        <w:rPr>
          <w:rFonts w:eastAsia="宋体"/>
        </w:rPr>
      </w:pPr>
    </w:p>
    <w:p w14:paraId="4BFC84ED">
      <w:pPr>
        <w:adjustRightInd/>
        <w:snapToGrid/>
        <w:ind w:firstLine="480"/>
        <w:rPr>
          <w:rFonts w:eastAsia="宋体"/>
        </w:rPr>
      </w:pPr>
    </w:p>
    <w:p w14:paraId="3C19EBEF">
      <w:pPr>
        <w:adjustRightInd/>
        <w:snapToGrid/>
        <w:ind w:firstLine="480"/>
        <w:rPr>
          <w:rFonts w:eastAsia="宋体"/>
        </w:rPr>
      </w:pPr>
    </w:p>
    <w:p w14:paraId="0E1DF2FD">
      <w:pPr>
        <w:adjustRightInd/>
        <w:snapToGrid/>
        <w:ind w:firstLine="480"/>
        <w:rPr>
          <w:rFonts w:eastAsia="宋体"/>
        </w:rPr>
      </w:pPr>
    </w:p>
    <w:p w14:paraId="34DB27C4">
      <w:pPr>
        <w:pStyle w:val="8"/>
        <w:ind w:left="480" w:firstLine="480"/>
        <w:rPr>
          <w:rFonts w:eastAsia="宋体"/>
        </w:rPr>
      </w:pPr>
    </w:p>
    <w:p w14:paraId="6206168D">
      <w:pPr>
        <w:pStyle w:val="8"/>
        <w:ind w:left="480" w:firstLine="480"/>
        <w:rPr>
          <w:rFonts w:eastAsia="宋体"/>
        </w:rPr>
      </w:pPr>
    </w:p>
    <w:p w14:paraId="5C56A10B">
      <w:pPr>
        <w:pStyle w:val="8"/>
        <w:ind w:left="480" w:firstLine="480"/>
        <w:rPr>
          <w:rFonts w:eastAsia="宋体"/>
        </w:rPr>
      </w:pPr>
    </w:p>
    <w:p w14:paraId="2AC8C3B4">
      <w:pPr>
        <w:pStyle w:val="8"/>
        <w:ind w:left="480" w:firstLine="480"/>
        <w:rPr>
          <w:rFonts w:eastAsia="宋体"/>
        </w:rPr>
      </w:pPr>
    </w:p>
    <w:p w14:paraId="65A66428">
      <w:pPr>
        <w:adjustRightInd/>
        <w:snapToGrid/>
        <w:ind w:firstLine="640"/>
        <w:rPr>
          <w:rFonts w:eastAsia="宋体"/>
          <w:sz w:val="32"/>
          <w:szCs w:val="32"/>
        </w:rPr>
      </w:pPr>
    </w:p>
    <w:p w14:paraId="0C60F0D0">
      <w:pPr>
        <w:adjustRightInd/>
        <w:snapToGrid/>
        <w:ind w:firstLine="0" w:firstLineChars="0"/>
        <w:jc w:val="center"/>
        <w:rPr>
          <w:rFonts w:hint="eastAsia" w:eastAsia="宋体"/>
          <w:b/>
          <w:bCs/>
          <w:sz w:val="30"/>
          <w:szCs w:val="30"/>
          <w:lang w:eastAsia="zh-CN"/>
        </w:rPr>
      </w:pPr>
      <w:bookmarkStart w:id="7" w:name="_Toc10684"/>
      <w:bookmarkStart w:id="8" w:name="_Toc7926"/>
      <w:bookmarkStart w:id="9" w:name="_Toc12950"/>
      <w:bookmarkStart w:id="10" w:name="_Toc9392"/>
      <w:bookmarkStart w:id="11" w:name="_Toc25808"/>
      <w:bookmarkStart w:id="12" w:name="_Toc19985"/>
      <w:bookmarkStart w:id="13" w:name="_Toc483248743"/>
      <w:r>
        <w:rPr>
          <w:rFonts w:hint="eastAsia" w:eastAsia="宋体"/>
          <w:b/>
          <w:bCs/>
          <w:sz w:val="30"/>
          <w:szCs w:val="30"/>
          <w:lang w:eastAsia="zh-CN"/>
        </w:rPr>
        <w:t>茵梦达（天津）驱动技术有限公司</w:t>
      </w:r>
    </w:p>
    <w:p w14:paraId="0C388505">
      <w:pPr>
        <w:adjustRightInd/>
        <w:snapToGrid/>
        <w:ind w:firstLine="0" w:firstLineChars="0"/>
        <w:jc w:val="center"/>
        <w:rPr>
          <w:rFonts w:eastAsia="宋体"/>
          <w:b/>
          <w:bCs/>
          <w:sz w:val="30"/>
          <w:szCs w:val="30"/>
        </w:rPr>
      </w:pPr>
      <w:r>
        <w:rPr>
          <w:rFonts w:eastAsia="宋体"/>
          <w:b/>
          <w:bCs/>
          <w:sz w:val="30"/>
          <w:szCs w:val="30"/>
        </w:rPr>
        <w:t>二〇二</w:t>
      </w:r>
      <w:r>
        <w:rPr>
          <w:rFonts w:hint="eastAsia" w:eastAsia="宋体"/>
          <w:b/>
          <w:bCs/>
          <w:sz w:val="30"/>
          <w:szCs w:val="30"/>
        </w:rPr>
        <w:t>五</w:t>
      </w:r>
      <w:r>
        <w:rPr>
          <w:rFonts w:eastAsia="宋体"/>
          <w:b/>
          <w:bCs/>
          <w:sz w:val="30"/>
          <w:szCs w:val="30"/>
        </w:rPr>
        <w:t>年</w:t>
      </w:r>
      <w:r>
        <w:rPr>
          <w:rFonts w:hint="eastAsia" w:eastAsia="宋体"/>
          <w:b/>
          <w:bCs/>
          <w:sz w:val="30"/>
          <w:szCs w:val="30"/>
          <w:lang w:val="en-US" w:eastAsia="zh-CN"/>
        </w:rPr>
        <w:t>十</w:t>
      </w:r>
      <w:r>
        <w:rPr>
          <w:rFonts w:eastAsia="宋体"/>
          <w:b/>
          <w:bCs/>
          <w:sz w:val="30"/>
          <w:szCs w:val="30"/>
        </w:rPr>
        <w:t>月</w:t>
      </w:r>
      <w:bookmarkEnd w:id="7"/>
      <w:bookmarkEnd w:id="8"/>
      <w:bookmarkEnd w:id="9"/>
      <w:bookmarkEnd w:id="10"/>
      <w:bookmarkEnd w:id="11"/>
      <w:bookmarkEnd w:id="12"/>
      <w:bookmarkEnd w:id="13"/>
    </w:p>
    <w:p w14:paraId="725F566A">
      <w:pPr>
        <w:ind w:firstLine="600"/>
        <w:rPr>
          <w:rFonts w:eastAsia="宋体"/>
          <w:sz w:val="30"/>
          <w:szCs w:val="30"/>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800" w:bottom="1440" w:left="1800" w:header="851" w:footer="992" w:gutter="0"/>
          <w:cols w:space="720" w:num="1"/>
          <w:docGrid w:type="lines" w:linePitch="312" w:charSpace="0"/>
        </w:sectPr>
      </w:pPr>
    </w:p>
    <w:p w14:paraId="21582433">
      <w:pPr>
        <w:adjustRightInd/>
        <w:snapToGrid/>
        <w:ind w:firstLine="0" w:firstLineChars="0"/>
        <w:jc w:val="center"/>
        <w:rPr>
          <w:rFonts w:eastAsia="宋体"/>
          <w:color w:val="000000"/>
          <w:sz w:val="28"/>
          <w:szCs w:val="28"/>
        </w:rPr>
      </w:pPr>
      <w:r>
        <w:rPr>
          <w:rFonts w:eastAsia="宋体"/>
          <w:color w:val="000000"/>
          <w:sz w:val="28"/>
          <w:szCs w:val="28"/>
        </w:rPr>
        <w:t>目  录</w:t>
      </w:r>
    </w:p>
    <w:p w14:paraId="6412CD86">
      <w:pPr>
        <w:pStyle w:val="4"/>
        <w:tabs>
          <w:tab w:val="right" w:leader="dot" w:pos="8306"/>
        </w:tabs>
      </w:pPr>
      <w:r>
        <w:rPr>
          <w:rFonts w:eastAsia="宋体"/>
          <w:color w:val="FF0000"/>
        </w:rPr>
        <w:fldChar w:fldCharType="begin"/>
      </w:r>
      <w:r>
        <w:rPr>
          <w:rFonts w:eastAsia="宋体"/>
          <w:color w:val="FF0000"/>
        </w:rPr>
        <w:instrText xml:space="preserve">TOC \o "1-2" \h \u </w:instrText>
      </w:r>
      <w:r>
        <w:rPr>
          <w:rFonts w:eastAsia="宋体"/>
          <w:color w:val="FF0000"/>
        </w:rPr>
        <w:fldChar w:fldCharType="separate"/>
      </w:r>
      <w:r>
        <w:rPr>
          <w:rFonts w:eastAsia="宋体"/>
          <w:color w:val="FF0000"/>
        </w:rPr>
        <w:fldChar w:fldCharType="begin"/>
      </w:r>
      <w:r>
        <w:rPr>
          <w:rFonts w:eastAsia="宋体"/>
        </w:rPr>
        <w:instrText xml:space="preserve"> HYPERLINK \l _Toc9632 </w:instrText>
      </w:r>
      <w:r>
        <w:rPr>
          <w:rFonts w:eastAsia="宋体"/>
        </w:rPr>
        <w:fldChar w:fldCharType="separate"/>
      </w:r>
      <w:r>
        <w:rPr>
          <w:rFonts w:eastAsia="宋体"/>
          <w:szCs w:val="24"/>
        </w:rPr>
        <w:t>1概述</w:t>
      </w:r>
      <w:r>
        <w:tab/>
      </w:r>
      <w:r>
        <w:fldChar w:fldCharType="begin"/>
      </w:r>
      <w:r>
        <w:instrText xml:space="preserve"> PAGEREF _Toc9632 \h </w:instrText>
      </w:r>
      <w:r>
        <w:fldChar w:fldCharType="separate"/>
      </w:r>
      <w:r>
        <w:t>1</w:t>
      </w:r>
      <w:r>
        <w:fldChar w:fldCharType="end"/>
      </w:r>
      <w:r>
        <w:rPr>
          <w:rFonts w:eastAsia="宋体"/>
          <w:color w:val="FF0000"/>
        </w:rPr>
        <w:fldChar w:fldCharType="end"/>
      </w:r>
    </w:p>
    <w:p w14:paraId="1A3E1D95">
      <w:pPr>
        <w:pStyle w:val="12"/>
        <w:tabs>
          <w:tab w:val="right" w:leader="dot" w:pos="8306"/>
        </w:tabs>
      </w:pPr>
      <w:r>
        <w:rPr>
          <w:rFonts w:eastAsia="宋体"/>
          <w:color w:val="FF0000"/>
        </w:rPr>
        <w:fldChar w:fldCharType="begin"/>
      </w:r>
      <w:r>
        <w:rPr>
          <w:rFonts w:eastAsia="宋体"/>
        </w:rPr>
        <w:instrText xml:space="preserve"> HYPERLINK \l _Toc30667 </w:instrText>
      </w:r>
      <w:r>
        <w:rPr>
          <w:rFonts w:eastAsia="宋体"/>
        </w:rPr>
        <w:fldChar w:fldCharType="separate"/>
      </w:r>
      <w:r>
        <w:rPr>
          <w:rFonts w:eastAsia="宋体"/>
          <w:bCs/>
        </w:rPr>
        <w:t>1.1</w:t>
      </w:r>
      <w:r>
        <w:rPr>
          <w:rFonts w:hint="eastAsia" w:eastAsia="宋体"/>
          <w:bCs/>
        </w:rPr>
        <w:t>项目概况</w:t>
      </w:r>
      <w:r>
        <w:tab/>
      </w:r>
      <w:r>
        <w:fldChar w:fldCharType="begin"/>
      </w:r>
      <w:r>
        <w:instrText xml:space="preserve"> PAGEREF _Toc30667 \h </w:instrText>
      </w:r>
      <w:r>
        <w:fldChar w:fldCharType="separate"/>
      </w:r>
      <w:r>
        <w:t>1</w:t>
      </w:r>
      <w:r>
        <w:fldChar w:fldCharType="end"/>
      </w:r>
      <w:r>
        <w:rPr>
          <w:rFonts w:eastAsia="宋体"/>
          <w:color w:val="FF0000"/>
        </w:rPr>
        <w:fldChar w:fldCharType="end"/>
      </w:r>
    </w:p>
    <w:p w14:paraId="03D0FAD6">
      <w:pPr>
        <w:pStyle w:val="12"/>
        <w:tabs>
          <w:tab w:val="right" w:leader="dot" w:pos="8306"/>
        </w:tabs>
      </w:pPr>
      <w:r>
        <w:rPr>
          <w:rFonts w:eastAsia="宋体"/>
          <w:color w:val="FF0000"/>
        </w:rPr>
        <w:fldChar w:fldCharType="begin"/>
      </w:r>
      <w:r>
        <w:rPr>
          <w:rFonts w:eastAsia="宋体"/>
        </w:rPr>
        <w:instrText xml:space="preserve"> HYPERLINK \l _Toc6228 </w:instrText>
      </w:r>
      <w:r>
        <w:rPr>
          <w:rFonts w:eastAsia="宋体"/>
        </w:rPr>
        <w:fldChar w:fldCharType="separate"/>
      </w:r>
      <w:r>
        <w:rPr>
          <w:rFonts w:eastAsia="宋体"/>
          <w:bCs/>
        </w:rPr>
        <w:t>1.2</w:t>
      </w:r>
      <w:r>
        <w:rPr>
          <w:rFonts w:hint="eastAsia" w:eastAsia="宋体"/>
          <w:bCs/>
        </w:rPr>
        <w:t>工作依据</w:t>
      </w:r>
      <w:r>
        <w:tab/>
      </w:r>
      <w:r>
        <w:fldChar w:fldCharType="begin"/>
      </w:r>
      <w:r>
        <w:instrText xml:space="preserve"> PAGEREF _Toc6228 \h </w:instrText>
      </w:r>
      <w:r>
        <w:fldChar w:fldCharType="separate"/>
      </w:r>
      <w:r>
        <w:t>1</w:t>
      </w:r>
      <w:r>
        <w:fldChar w:fldCharType="end"/>
      </w:r>
      <w:r>
        <w:rPr>
          <w:rFonts w:eastAsia="宋体"/>
          <w:color w:val="FF0000"/>
        </w:rPr>
        <w:fldChar w:fldCharType="end"/>
      </w:r>
    </w:p>
    <w:p w14:paraId="346EF514">
      <w:pPr>
        <w:pStyle w:val="12"/>
        <w:tabs>
          <w:tab w:val="right" w:leader="dot" w:pos="8306"/>
        </w:tabs>
      </w:pPr>
      <w:r>
        <w:rPr>
          <w:rFonts w:eastAsia="宋体"/>
          <w:color w:val="FF0000"/>
        </w:rPr>
        <w:fldChar w:fldCharType="begin"/>
      </w:r>
      <w:r>
        <w:rPr>
          <w:rFonts w:eastAsia="宋体"/>
        </w:rPr>
        <w:instrText xml:space="preserve"> HYPERLINK \l _Toc12557 </w:instrText>
      </w:r>
      <w:r>
        <w:rPr>
          <w:rFonts w:eastAsia="宋体"/>
        </w:rPr>
        <w:fldChar w:fldCharType="separate"/>
      </w:r>
      <w:r>
        <w:rPr>
          <w:rFonts w:eastAsia="宋体"/>
          <w:bCs/>
        </w:rPr>
        <w:t>1.3</w:t>
      </w:r>
      <w:r>
        <w:rPr>
          <w:rFonts w:hint="eastAsia" w:eastAsia="宋体"/>
          <w:bCs/>
        </w:rPr>
        <w:t>工作目的和原则</w:t>
      </w:r>
      <w:r>
        <w:tab/>
      </w:r>
      <w:r>
        <w:fldChar w:fldCharType="begin"/>
      </w:r>
      <w:r>
        <w:instrText xml:space="preserve"> PAGEREF _Toc12557 \h </w:instrText>
      </w:r>
      <w:r>
        <w:fldChar w:fldCharType="separate"/>
      </w:r>
      <w:r>
        <w:t>1</w:t>
      </w:r>
      <w:r>
        <w:fldChar w:fldCharType="end"/>
      </w:r>
      <w:r>
        <w:rPr>
          <w:rFonts w:eastAsia="宋体"/>
          <w:color w:val="FF0000"/>
        </w:rPr>
        <w:fldChar w:fldCharType="end"/>
      </w:r>
    </w:p>
    <w:p w14:paraId="19F39B4D">
      <w:pPr>
        <w:pStyle w:val="12"/>
        <w:tabs>
          <w:tab w:val="right" w:leader="dot" w:pos="8306"/>
        </w:tabs>
      </w:pPr>
      <w:r>
        <w:rPr>
          <w:rFonts w:eastAsia="宋体"/>
          <w:color w:val="FF0000"/>
        </w:rPr>
        <w:fldChar w:fldCharType="begin"/>
      </w:r>
      <w:r>
        <w:rPr>
          <w:rFonts w:eastAsia="宋体"/>
        </w:rPr>
        <w:instrText xml:space="preserve"> HYPERLINK \l _Toc31125 </w:instrText>
      </w:r>
      <w:r>
        <w:rPr>
          <w:rFonts w:eastAsia="宋体"/>
        </w:rPr>
        <w:fldChar w:fldCharType="separate"/>
      </w:r>
      <w:r>
        <w:rPr>
          <w:rFonts w:eastAsia="宋体"/>
          <w:bCs/>
        </w:rPr>
        <w:t>1.4</w:t>
      </w:r>
      <w:r>
        <w:rPr>
          <w:rFonts w:hint="eastAsia" w:eastAsia="宋体"/>
          <w:bCs/>
        </w:rPr>
        <w:t>公众参与总体方案概述</w:t>
      </w:r>
      <w:r>
        <w:tab/>
      </w:r>
      <w:r>
        <w:fldChar w:fldCharType="begin"/>
      </w:r>
      <w:r>
        <w:instrText xml:space="preserve"> PAGEREF _Toc31125 \h </w:instrText>
      </w:r>
      <w:r>
        <w:fldChar w:fldCharType="separate"/>
      </w:r>
      <w:r>
        <w:t>2</w:t>
      </w:r>
      <w:r>
        <w:fldChar w:fldCharType="end"/>
      </w:r>
      <w:r>
        <w:rPr>
          <w:rFonts w:eastAsia="宋体"/>
          <w:color w:val="FF0000"/>
        </w:rPr>
        <w:fldChar w:fldCharType="end"/>
      </w:r>
    </w:p>
    <w:p w14:paraId="6F1A63D4">
      <w:pPr>
        <w:pStyle w:val="4"/>
        <w:tabs>
          <w:tab w:val="right" w:leader="dot" w:pos="8306"/>
        </w:tabs>
      </w:pPr>
      <w:r>
        <w:rPr>
          <w:rFonts w:eastAsia="宋体"/>
          <w:color w:val="FF0000"/>
        </w:rPr>
        <w:fldChar w:fldCharType="begin"/>
      </w:r>
      <w:r>
        <w:rPr>
          <w:rFonts w:eastAsia="宋体"/>
        </w:rPr>
        <w:instrText xml:space="preserve"> HYPERLINK \l _Toc8919 </w:instrText>
      </w:r>
      <w:r>
        <w:rPr>
          <w:rFonts w:eastAsia="宋体"/>
        </w:rPr>
        <w:fldChar w:fldCharType="separate"/>
      </w:r>
      <w:r>
        <w:rPr>
          <w:rFonts w:eastAsia="宋体"/>
          <w:szCs w:val="24"/>
        </w:rPr>
        <w:t>2首次环境影响评价信息公开情况</w:t>
      </w:r>
      <w:r>
        <w:tab/>
      </w:r>
      <w:r>
        <w:fldChar w:fldCharType="begin"/>
      </w:r>
      <w:r>
        <w:instrText xml:space="preserve"> PAGEREF _Toc8919 \h </w:instrText>
      </w:r>
      <w:r>
        <w:fldChar w:fldCharType="separate"/>
      </w:r>
      <w:r>
        <w:t>3</w:t>
      </w:r>
      <w:r>
        <w:fldChar w:fldCharType="end"/>
      </w:r>
      <w:r>
        <w:rPr>
          <w:rFonts w:eastAsia="宋体"/>
          <w:color w:val="FF0000"/>
        </w:rPr>
        <w:fldChar w:fldCharType="end"/>
      </w:r>
    </w:p>
    <w:p w14:paraId="7FEB6595">
      <w:pPr>
        <w:pStyle w:val="12"/>
        <w:tabs>
          <w:tab w:val="right" w:leader="dot" w:pos="8306"/>
        </w:tabs>
      </w:pPr>
      <w:r>
        <w:rPr>
          <w:rFonts w:eastAsia="宋体"/>
          <w:color w:val="FF0000"/>
        </w:rPr>
        <w:fldChar w:fldCharType="begin"/>
      </w:r>
      <w:r>
        <w:rPr>
          <w:rFonts w:eastAsia="宋体"/>
        </w:rPr>
        <w:instrText xml:space="preserve"> HYPERLINK \l _Toc11698 </w:instrText>
      </w:r>
      <w:r>
        <w:rPr>
          <w:rFonts w:eastAsia="宋体"/>
        </w:rPr>
        <w:fldChar w:fldCharType="separate"/>
      </w:r>
      <w:r>
        <w:rPr>
          <w:rFonts w:eastAsia="宋体"/>
          <w:bCs/>
        </w:rPr>
        <w:t>2.1公开内容及日期</w:t>
      </w:r>
      <w:r>
        <w:tab/>
      </w:r>
      <w:r>
        <w:fldChar w:fldCharType="begin"/>
      </w:r>
      <w:r>
        <w:instrText xml:space="preserve"> PAGEREF _Toc11698 \h </w:instrText>
      </w:r>
      <w:r>
        <w:fldChar w:fldCharType="separate"/>
      </w:r>
      <w:r>
        <w:t>3</w:t>
      </w:r>
      <w:r>
        <w:fldChar w:fldCharType="end"/>
      </w:r>
      <w:r>
        <w:rPr>
          <w:rFonts w:eastAsia="宋体"/>
          <w:color w:val="FF0000"/>
        </w:rPr>
        <w:fldChar w:fldCharType="end"/>
      </w:r>
    </w:p>
    <w:p w14:paraId="07228970">
      <w:pPr>
        <w:pStyle w:val="12"/>
        <w:tabs>
          <w:tab w:val="right" w:leader="dot" w:pos="8306"/>
        </w:tabs>
      </w:pPr>
      <w:r>
        <w:rPr>
          <w:rFonts w:eastAsia="宋体"/>
          <w:color w:val="FF0000"/>
        </w:rPr>
        <w:fldChar w:fldCharType="begin"/>
      </w:r>
      <w:r>
        <w:rPr>
          <w:rFonts w:eastAsia="宋体"/>
        </w:rPr>
        <w:instrText xml:space="preserve"> HYPERLINK \l _Toc2987 </w:instrText>
      </w:r>
      <w:r>
        <w:rPr>
          <w:rFonts w:eastAsia="宋体"/>
        </w:rPr>
        <w:fldChar w:fldCharType="separate"/>
      </w:r>
      <w:r>
        <w:rPr>
          <w:rFonts w:eastAsia="宋体"/>
          <w:bCs/>
        </w:rPr>
        <w:t>2.2公开方式</w:t>
      </w:r>
      <w:r>
        <w:tab/>
      </w:r>
      <w:r>
        <w:fldChar w:fldCharType="begin"/>
      </w:r>
      <w:r>
        <w:instrText xml:space="preserve"> PAGEREF _Toc2987 \h </w:instrText>
      </w:r>
      <w:r>
        <w:fldChar w:fldCharType="separate"/>
      </w:r>
      <w:r>
        <w:t>4</w:t>
      </w:r>
      <w:r>
        <w:fldChar w:fldCharType="end"/>
      </w:r>
      <w:r>
        <w:rPr>
          <w:rFonts w:eastAsia="宋体"/>
          <w:color w:val="FF0000"/>
        </w:rPr>
        <w:fldChar w:fldCharType="end"/>
      </w:r>
    </w:p>
    <w:p w14:paraId="2121C20C">
      <w:pPr>
        <w:pStyle w:val="12"/>
        <w:tabs>
          <w:tab w:val="right" w:leader="dot" w:pos="8306"/>
        </w:tabs>
      </w:pPr>
      <w:r>
        <w:rPr>
          <w:rFonts w:eastAsia="宋体"/>
          <w:color w:val="FF0000"/>
        </w:rPr>
        <w:fldChar w:fldCharType="begin"/>
      </w:r>
      <w:r>
        <w:rPr>
          <w:rFonts w:eastAsia="宋体"/>
        </w:rPr>
        <w:instrText xml:space="preserve"> HYPERLINK \l _Toc32467 </w:instrText>
      </w:r>
      <w:r>
        <w:rPr>
          <w:rFonts w:eastAsia="宋体"/>
        </w:rPr>
        <w:fldChar w:fldCharType="separate"/>
      </w:r>
      <w:r>
        <w:rPr>
          <w:rFonts w:eastAsia="宋体"/>
          <w:bCs/>
        </w:rPr>
        <w:t>2.3公众意见情况</w:t>
      </w:r>
      <w:r>
        <w:tab/>
      </w:r>
      <w:r>
        <w:fldChar w:fldCharType="begin"/>
      </w:r>
      <w:r>
        <w:instrText xml:space="preserve"> PAGEREF _Toc32467 \h </w:instrText>
      </w:r>
      <w:r>
        <w:fldChar w:fldCharType="separate"/>
      </w:r>
      <w:r>
        <w:t>7</w:t>
      </w:r>
      <w:r>
        <w:fldChar w:fldCharType="end"/>
      </w:r>
      <w:r>
        <w:rPr>
          <w:rFonts w:eastAsia="宋体"/>
          <w:color w:val="FF0000"/>
        </w:rPr>
        <w:fldChar w:fldCharType="end"/>
      </w:r>
    </w:p>
    <w:p w14:paraId="3D2385BF">
      <w:pPr>
        <w:pStyle w:val="4"/>
        <w:tabs>
          <w:tab w:val="right" w:leader="dot" w:pos="8306"/>
        </w:tabs>
      </w:pPr>
      <w:r>
        <w:rPr>
          <w:rFonts w:eastAsia="宋体"/>
          <w:color w:val="FF0000"/>
        </w:rPr>
        <w:fldChar w:fldCharType="begin"/>
      </w:r>
      <w:r>
        <w:rPr>
          <w:rFonts w:eastAsia="宋体"/>
        </w:rPr>
        <w:instrText xml:space="preserve"> HYPERLINK \l _Toc9240 </w:instrText>
      </w:r>
      <w:r>
        <w:rPr>
          <w:rFonts w:eastAsia="宋体"/>
        </w:rPr>
        <w:fldChar w:fldCharType="separate"/>
      </w:r>
      <w:r>
        <w:rPr>
          <w:rFonts w:eastAsia="宋体"/>
          <w:szCs w:val="24"/>
        </w:rPr>
        <w:t>3征求意见稿</w:t>
      </w:r>
      <w:r>
        <w:rPr>
          <w:rFonts w:hint="eastAsia" w:eastAsia="宋体"/>
          <w:szCs w:val="24"/>
        </w:rPr>
        <w:t>公示</w:t>
      </w:r>
      <w:r>
        <w:rPr>
          <w:rFonts w:eastAsia="宋体"/>
          <w:szCs w:val="24"/>
        </w:rPr>
        <w:t>情况</w:t>
      </w:r>
      <w:r>
        <w:tab/>
      </w:r>
      <w:r>
        <w:fldChar w:fldCharType="begin"/>
      </w:r>
      <w:r>
        <w:instrText xml:space="preserve"> PAGEREF _Toc9240 \h </w:instrText>
      </w:r>
      <w:r>
        <w:fldChar w:fldCharType="separate"/>
      </w:r>
      <w:r>
        <w:t>7</w:t>
      </w:r>
      <w:r>
        <w:fldChar w:fldCharType="end"/>
      </w:r>
      <w:r>
        <w:rPr>
          <w:rFonts w:eastAsia="宋体"/>
          <w:color w:val="FF0000"/>
        </w:rPr>
        <w:fldChar w:fldCharType="end"/>
      </w:r>
    </w:p>
    <w:p w14:paraId="21EC7EB2">
      <w:pPr>
        <w:pStyle w:val="12"/>
        <w:tabs>
          <w:tab w:val="right" w:leader="dot" w:pos="8306"/>
        </w:tabs>
      </w:pPr>
      <w:r>
        <w:rPr>
          <w:rFonts w:eastAsia="宋体"/>
          <w:color w:val="FF0000"/>
        </w:rPr>
        <w:fldChar w:fldCharType="begin"/>
      </w:r>
      <w:r>
        <w:rPr>
          <w:rFonts w:eastAsia="宋体"/>
        </w:rPr>
        <w:instrText xml:space="preserve"> HYPERLINK \l _Toc1598 </w:instrText>
      </w:r>
      <w:r>
        <w:rPr>
          <w:rFonts w:eastAsia="宋体"/>
        </w:rPr>
        <w:fldChar w:fldCharType="separate"/>
      </w:r>
      <w:r>
        <w:rPr>
          <w:rFonts w:eastAsia="宋体"/>
          <w:bCs/>
        </w:rPr>
        <w:t>3.1</w:t>
      </w:r>
      <w:r>
        <w:rPr>
          <w:rFonts w:hint="eastAsia" w:eastAsia="宋体"/>
          <w:bCs/>
        </w:rPr>
        <w:t>公示</w:t>
      </w:r>
      <w:r>
        <w:rPr>
          <w:rFonts w:eastAsia="宋体"/>
          <w:bCs/>
        </w:rPr>
        <w:t>内容及时限</w:t>
      </w:r>
      <w:r>
        <w:tab/>
      </w:r>
      <w:r>
        <w:fldChar w:fldCharType="begin"/>
      </w:r>
      <w:r>
        <w:instrText xml:space="preserve"> PAGEREF _Toc1598 \h </w:instrText>
      </w:r>
      <w:r>
        <w:fldChar w:fldCharType="separate"/>
      </w:r>
      <w:r>
        <w:t>7</w:t>
      </w:r>
      <w:r>
        <w:fldChar w:fldCharType="end"/>
      </w:r>
      <w:r>
        <w:rPr>
          <w:rFonts w:eastAsia="宋体"/>
          <w:color w:val="FF0000"/>
        </w:rPr>
        <w:fldChar w:fldCharType="end"/>
      </w:r>
    </w:p>
    <w:p w14:paraId="0A89F175">
      <w:pPr>
        <w:pStyle w:val="12"/>
        <w:tabs>
          <w:tab w:val="right" w:leader="dot" w:pos="8306"/>
        </w:tabs>
      </w:pPr>
      <w:r>
        <w:rPr>
          <w:rFonts w:eastAsia="宋体"/>
          <w:color w:val="FF0000"/>
        </w:rPr>
        <w:fldChar w:fldCharType="begin"/>
      </w:r>
      <w:r>
        <w:rPr>
          <w:rFonts w:eastAsia="宋体"/>
        </w:rPr>
        <w:instrText xml:space="preserve"> HYPERLINK \l _Toc16216 </w:instrText>
      </w:r>
      <w:r>
        <w:rPr>
          <w:rFonts w:eastAsia="宋体"/>
        </w:rPr>
        <w:fldChar w:fldCharType="separate"/>
      </w:r>
      <w:r>
        <w:rPr>
          <w:rFonts w:eastAsia="宋体"/>
          <w:bCs/>
        </w:rPr>
        <w:t>3.2</w:t>
      </w:r>
      <w:r>
        <w:rPr>
          <w:rFonts w:hint="eastAsia" w:eastAsia="宋体"/>
          <w:bCs/>
        </w:rPr>
        <w:t>公示</w:t>
      </w:r>
      <w:r>
        <w:rPr>
          <w:rFonts w:eastAsia="宋体"/>
          <w:bCs/>
        </w:rPr>
        <w:t>方式</w:t>
      </w:r>
      <w:r>
        <w:tab/>
      </w:r>
      <w:r>
        <w:fldChar w:fldCharType="begin"/>
      </w:r>
      <w:r>
        <w:instrText xml:space="preserve"> PAGEREF _Toc16216 \h </w:instrText>
      </w:r>
      <w:r>
        <w:fldChar w:fldCharType="separate"/>
      </w:r>
      <w:r>
        <w:t>8</w:t>
      </w:r>
      <w:r>
        <w:fldChar w:fldCharType="end"/>
      </w:r>
      <w:r>
        <w:rPr>
          <w:rFonts w:eastAsia="宋体"/>
          <w:color w:val="FF0000"/>
        </w:rPr>
        <w:fldChar w:fldCharType="end"/>
      </w:r>
    </w:p>
    <w:p w14:paraId="11E159AB">
      <w:pPr>
        <w:pStyle w:val="12"/>
        <w:tabs>
          <w:tab w:val="right" w:leader="dot" w:pos="8306"/>
        </w:tabs>
      </w:pPr>
      <w:r>
        <w:rPr>
          <w:rFonts w:eastAsia="宋体"/>
          <w:color w:val="FF0000"/>
        </w:rPr>
        <w:fldChar w:fldCharType="begin"/>
      </w:r>
      <w:r>
        <w:rPr>
          <w:rFonts w:eastAsia="宋体"/>
        </w:rPr>
        <w:instrText xml:space="preserve"> HYPERLINK \l _Toc13591 </w:instrText>
      </w:r>
      <w:r>
        <w:rPr>
          <w:rFonts w:eastAsia="宋体"/>
        </w:rPr>
        <w:fldChar w:fldCharType="separate"/>
      </w:r>
      <w:r>
        <w:rPr>
          <w:rFonts w:eastAsia="宋体"/>
          <w:bCs/>
        </w:rPr>
        <w:t>3.3查阅情况</w:t>
      </w:r>
      <w:r>
        <w:tab/>
      </w:r>
      <w:r>
        <w:fldChar w:fldCharType="begin"/>
      </w:r>
      <w:r>
        <w:instrText xml:space="preserve"> PAGEREF _Toc13591 \h </w:instrText>
      </w:r>
      <w:r>
        <w:fldChar w:fldCharType="separate"/>
      </w:r>
      <w:r>
        <w:t>18</w:t>
      </w:r>
      <w:r>
        <w:fldChar w:fldCharType="end"/>
      </w:r>
      <w:r>
        <w:rPr>
          <w:rFonts w:eastAsia="宋体"/>
          <w:color w:val="FF0000"/>
        </w:rPr>
        <w:fldChar w:fldCharType="end"/>
      </w:r>
    </w:p>
    <w:p w14:paraId="4C7FAF23">
      <w:pPr>
        <w:pStyle w:val="12"/>
        <w:tabs>
          <w:tab w:val="right" w:leader="dot" w:pos="8306"/>
        </w:tabs>
      </w:pPr>
      <w:r>
        <w:rPr>
          <w:rFonts w:eastAsia="宋体"/>
          <w:color w:val="FF0000"/>
        </w:rPr>
        <w:fldChar w:fldCharType="begin"/>
      </w:r>
      <w:r>
        <w:rPr>
          <w:rFonts w:eastAsia="宋体"/>
        </w:rPr>
        <w:instrText xml:space="preserve"> HYPERLINK \l _Toc29095 </w:instrText>
      </w:r>
      <w:r>
        <w:rPr>
          <w:rFonts w:eastAsia="宋体"/>
        </w:rPr>
        <w:fldChar w:fldCharType="separate"/>
      </w:r>
      <w:r>
        <w:rPr>
          <w:rFonts w:eastAsia="宋体"/>
          <w:bCs/>
        </w:rPr>
        <w:t>3.4公众提出意见情况</w:t>
      </w:r>
      <w:r>
        <w:tab/>
      </w:r>
      <w:r>
        <w:fldChar w:fldCharType="begin"/>
      </w:r>
      <w:r>
        <w:instrText xml:space="preserve"> PAGEREF _Toc29095 \h </w:instrText>
      </w:r>
      <w:r>
        <w:fldChar w:fldCharType="separate"/>
      </w:r>
      <w:r>
        <w:t>18</w:t>
      </w:r>
      <w:r>
        <w:fldChar w:fldCharType="end"/>
      </w:r>
      <w:r>
        <w:rPr>
          <w:rFonts w:eastAsia="宋体"/>
          <w:color w:val="FF0000"/>
        </w:rPr>
        <w:fldChar w:fldCharType="end"/>
      </w:r>
    </w:p>
    <w:p w14:paraId="39139AA1">
      <w:pPr>
        <w:pStyle w:val="4"/>
        <w:tabs>
          <w:tab w:val="right" w:leader="dot" w:pos="8306"/>
        </w:tabs>
      </w:pPr>
      <w:r>
        <w:rPr>
          <w:rFonts w:eastAsia="宋体"/>
          <w:color w:val="FF0000"/>
        </w:rPr>
        <w:fldChar w:fldCharType="begin"/>
      </w:r>
      <w:r>
        <w:rPr>
          <w:rFonts w:eastAsia="宋体"/>
        </w:rPr>
        <w:instrText xml:space="preserve"> HYPERLINK \l _Toc8126 </w:instrText>
      </w:r>
      <w:r>
        <w:rPr>
          <w:rFonts w:eastAsia="宋体"/>
        </w:rPr>
        <w:fldChar w:fldCharType="separate"/>
      </w:r>
      <w:r>
        <w:rPr>
          <w:rFonts w:eastAsia="宋体"/>
          <w:szCs w:val="24"/>
        </w:rPr>
        <w:t>4其他公众参与情况</w:t>
      </w:r>
      <w:r>
        <w:tab/>
      </w:r>
      <w:r>
        <w:fldChar w:fldCharType="begin"/>
      </w:r>
      <w:r>
        <w:instrText xml:space="preserve"> PAGEREF _Toc8126 \h </w:instrText>
      </w:r>
      <w:r>
        <w:fldChar w:fldCharType="separate"/>
      </w:r>
      <w:r>
        <w:t>18</w:t>
      </w:r>
      <w:r>
        <w:fldChar w:fldCharType="end"/>
      </w:r>
      <w:r>
        <w:rPr>
          <w:rFonts w:eastAsia="宋体"/>
          <w:color w:val="FF0000"/>
        </w:rPr>
        <w:fldChar w:fldCharType="end"/>
      </w:r>
    </w:p>
    <w:p w14:paraId="201E4C1C">
      <w:pPr>
        <w:pStyle w:val="4"/>
        <w:tabs>
          <w:tab w:val="right" w:leader="dot" w:pos="8306"/>
        </w:tabs>
      </w:pPr>
      <w:r>
        <w:rPr>
          <w:rFonts w:eastAsia="宋体"/>
          <w:color w:val="FF0000"/>
        </w:rPr>
        <w:fldChar w:fldCharType="begin"/>
      </w:r>
      <w:r>
        <w:rPr>
          <w:rFonts w:eastAsia="宋体"/>
        </w:rPr>
        <w:instrText xml:space="preserve"> HYPERLINK \l _Toc29332 </w:instrText>
      </w:r>
      <w:r>
        <w:rPr>
          <w:rFonts w:eastAsia="宋体"/>
        </w:rPr>
        <w:fldChar w:fldCharType="separate"/>
      </w:r>
      <w:r>
        <w:rPr>
          <w:rFonts w:eastAsia="宋体"/>
          <w:szCs w:val="24"/>
        </w:rPr>
        <w:t>5公众意见处理情况</w:t>
      </w:r>
      <w:r>
        <w:tab/>
      </w:r>
      <w:r>
        <w:fldChar w:fldCharType="begin"/>
      </w:r>
      <w:r>
        <w:instrText xml:space="preserve"> PAGEREF _Toc29332 \h </w:instrText>
      </w:r>
      <w:r>
        <w:fldChar w:fldCharType="separate"/>
      </w:r>
      <w:r>
        <w:t>18</w:t>
      </w:r>
      <w:r>
        <w:fldChar w:fldCharType="end"/>
      </w:r>
      <w:r>
        <w:rPr>
          <w:rFonts w:eastAsia="宋体"/>
          <w:color w:val="FF0000"/>
        </w:rPr>
        <w:fldChar w:fldCharType="end"/>
      </w:r>
    </w:p>
    <w:p w14:paraId="3F20BB47">
      <w:pPr>
        <w:pStyle w:val="4"/>
        <w:tabs>
          <w:tab w:val="right" w:leader="dot" w:pos="8306"/>
        </w:tabs>
      </w:pPr>
      <w:r>
        <w:rPr>
          <w:rFonts w:eastAsia="宋体"/>
          <w:color w:val="FF0000"/>
        </w:rPr>
        <w:fldChar w:fldCharType="begin"/>
      </w:r>
      <w:r>
        <w:rPr>
          <w:rFonts w:eastAsia="宋体"/>
        </w:rPr>
        <w:instrText xml:space="preserve"> HYPERLINK \l _Toc2421 </w:instrText>
      </w:r>
      <w:r>
        <w:rPr>
          <w:rFonts w:eastAsia="宋体"/>
        </w:rPr>
        <w:fldChar w:fldCharType="separate"/>
      </w:r>
      <w:r>
        <w:rPr>
          <w:rFonts w:eastAsia="宋体"/>
          <w:szCs w:val="24"/>
        </w:rPr>
        <w:t>6</w:t>
      </w:r>
      <w:r>
        <w:rPr>
          <w:rFonts w:hint="eastAsia" w:eastAsia="宋体"/>
          <w:szCs w:val="24"/>
        </w:rPr>
        <w:t>报批前公开情况</w:t>
      </w:r>
      <w:r>
        <w:tab/>
      </w:r>
      <w:r>
        <w:fldChar w:fldCharType="begin"/>
      </w:r>
      <w:r>
        <w:instrText xml:space="preserve"> PAGEREF _Toc2421 \h </w:instrText>
      </w:r>
      <w:r>
        <w:fldChar w:fldCharType="separate"/>
      </w:r>
      <w:r>
        <w:t>19</w:t>
      </w:r>
      <w:r>
        <w:fldChar w:fldCharType="end"/>
      </w:r>
      <w:r>
        <w:rPr>
          <w:rFonts w:eastAsia="宋体"/>
          <w:color w:val="FF0000"/>
        </w:rPr>
        <w:fldChar w:fldCharType="end"/>
      </w:r>
    </w:p>
    <w:p w14:paraId="3A6BDA6C">
      <w:pPr>
        <w:pStyle w:val="12"/>
        <w:tabs>
          <w:tab w:val="right" w:leader="dot" w:pos="8306"/>
        </w:tabs>
      </w:pPr>
      <w:r>
        <w:rPr>
          <w:rFonts w:eastAsia="宋体"/>
          <w:color w:val="FF0000"/>
        </w:rPr>
        <w:fldChar w:fldCharType="begin"/>
      </w:r>
      <w:r>
        <w:rPr>
          <w:rFonts w:eastAsia="宋体"/>
        </w:rPr>
        <w:instrText xml:space="preserve"> HYPERLINK \l _Toc25242 </w:instrText>
      </w:r>
      <w:r>
        <w:rPr>
          <w:rFonts w:eastAsia="宋体"/>
        </w:rPr>
        <w:fldChar w:fldCharType="separate"/>
      </w:r>
      <w:r>
        <w:rPr>
          <w:rFonts w:hint="eastAsia" w:eastAsia="宋体"/>
          <w:bCs/>
        </w:rPr>
        <w:t>6.1 公开内容及日期</w:t>
      </w:r>
      <w:r>
        <w:tab/>
      </w:r>
      <w:r>
        <w:fldChar w:fldCharType="begin"/>
      </w:r>
      <w:r>
        <w:instrText xml:space="preserve"> PAGEREF _Toc25242 \h </w:instrText>
      </w:r>
      <w:r>
        <w:fldChar w:fldCharType="separate"/>
      </w:r>
      <w:r>
        <w:t>19</w:t>
      </w:r>
      <w:r>
        <w:fldChar w:fldCharType="end"/>
      </w:r>
      <w:r>
        <w:rPr>
          <w:rFonts w:eastAsia="宋体"/>
          <w:color w:val="FF0000"/>
        </w:rPr>
        <w:fldChar w:fldCharType="end"/>
      </w:r>
    </w:p>
    <w:p w14:paraId="745A8608">
      <w:pPr>
        <w:pStyle w:val="12"/>
        <w:tabs>
          <w:tab w:val="right" w:leader="dot" w:pos="8306"/>
        </w:tabs>
      </w:pPr>
      <w:r>
        <w:rPr>
          <w:rFonts w:eastAsia="宋体"/>
          <w:color w:val="FF0000"/>
        </w:rPr>
        <w:fldChar w:fldCharType="begin"/>
      </w:r>
      <w:r>
        <w:rPr>
          <w:rFonts w:eastAsia="宋体"/>
        </w:rPr>
        <w:instrText xml:space="preserve"> HYPERLINK \l _Toc23039 </w:instrText>
      </w:r>
      <w:r>
        <w:rPr>
          <w:rFonts w:eastAsia="宋体"/>
        </w:rPr>
        <w:fldChar w:fldCharType="separate"/>
      </w:r>
      <w:r>
        <w:rPr>
          <w:rFonts w:hint="eastAsia" w:eastAsia="宋体"/>
          <w:bCs/>
        </w:rPr>
        <w:t>6.2 公开方式</w:t>
      </w:r>
      <w:r>
        <w:tab/>
      </w:r>
      <w:r>
        <w:fldChar w:fldCharType="begin"/>
      </w:r>
      <w:r>
        <w:instrText xml:space="preserve"> PAGEREF _Toc23039 \h </w:instrText>
      </w:r>
      <w:r>
        <w:fldChar w:fldCharType="separate"/>
      </w:r>
      <w:r>
        <w:t>19</w:t>
      </w:r>
      <w:r>
        <w:fldChar w:fldCharType="end"/>
      </w:r>
      <w:r>
        <w:rPr>
          <w:rFonts w:eastAsia="宋体"/>
          <w:color w:val="FF0000"/>
        </w:rPr>
        <w:fldChar w:fldCharType="end"/>
      </w:r>
    </w:p>
    <w:p w14:paraId="708C7989">
      <w:pPr>
        <w:pStyle w:val="4"/>
        <w:tabs>
          <w:tab w:val="right" w:leader="dot" w:pos="8306"/>
        </w:tabs>
      </w:pPr>
      <w:r>
        <w:rPr>
          <w:rFonts w:eastAsia="宋体"/>
          <w:color w:val="FF0000"/>
        </w:rPr>
        <w:fldChar w:fldCharType="begin"/>
      </w:r>
      <w:r>
        <w:rPr>
          <w:rFonts w:eastAsia="宋体"/>
        </w:rPr>
        <w:instrText xml:space="preserve"> HYPERLINK \l _Toc5828 </w:instrText>
      </w:r>
      <w:r>
        <w:rPr>
          <w:rFonts w:eastAsia="宋体"/>
        </w:rPr>
        <w:fldChar w:fldCharType="separate"/>
      </w:r>
      <w:r>
        <w:rPr>
          <w:rFonts w:hint="eastAsia" w:eastAsia="宋体"/>
          <w:szCs w:val="24"/>
        </w:rPr>
        <w:t>7</w:t>
      </w:r>
      <w:r>
        <w:rPr>
          <w:rFonts w:eastAsia="宋体"/>
          <w:szCs w:val="24"/>
        </w:rPr>
        <w:t>其他</w:t>
      </w:r>
      <w:r>
        <w:tab/>
      </w:r>
      <w:r>
        <w:fldChar w:fldCharType="begin"/>
      </w:r>
      <w:r>
        <w:instrText xml:space="preserve"> PAGEREF _Toc5828 \h </w:instrText>
      </w:r>
      <w:r>
        <w:fldChar w:fldCharType="separate"/>
      </w:r>
      <w:r>
        <w:t>21</w:t>
      </w:r>
      <w:r>
        <w:fldChar w:fldCharType="end"/>
      </w:r>
      <w:r>
        <w:rPr>
          <w:rFonts w:eastAsia="宋体"/>
          <w:color w:val="FF0000"/>
        </w:rPr>
        <w:fldChar w:fldCharType="end"/>
      </w:r>
    </w:p>
    <w:p w14:paraId="48C1B38E">
      <w:pPr>
        <w:pStyle w:val="4"/>
        <w:tabs>
          <w:tab w:val="right" w:leader="dot" w:pos="8306"/>
        </w:tabs>
      </w:pPr>
      <w:r>
        <w:rPr>
          <w:rFonts w:eastAsia="宋体"/>
          <w:color w:val="FF0000"/>
        </w:rPr>
        <w:fldChar w:fldCharType="begin"/>
      </w:r>
      <w:r>
        <w:rPr>
          <w:rFonts w:eastAsia="宋体"/>
        </w:rPr>
        <w:instrText xml:space="preserve"> HYPERLINK \l _Toc13642 </w:instrText>
      </w:r>
      <w:r>
        <w:rPr>
          <w:rFonts w:eastAsia="宋体"/>
        </w:rPr>
        <w:fldChar w:fldCharType="separate"/>
      </w:r>
      <w:r>
        <w:rPr>
          <w:rFonts w:eastAsia="宋体"/>
          <w:szCs w:val="24"/>
        </w:rPr>
        <w:t>8</w:t>
      </w:r>
      <w:r>
        <w:rPr>
          <w:rFonts w:hint="eastAsia" w:eastAsia="宋体"/>
          <w:szCs w:val="24"/>
        </w:rPr>
        <w:t>诚信承诺</w:t>
      </w:r>
      <w:r>
        <w:tab/>
      </w:r>
      <w:r>
        <w:fldChar w:fldCharType="begin"/>
      </w:r>
      <w:r>
        <w:instrText xml:space="preserve"> PAGEREF _Toc13642 \h </w:instrText>
      </w:r>
      <w:r>
        <w:fldChar w:fldCharType="separate"/>
      </w:r>
      <w:r>
        <w:t>22</w:t>
      </w:r>
      <w:r>
        <w:fldChar w:fldCharType="end"/>
      </w:r>
      <w:r>
        <w:rPr>
          <w:rFonts w:eastAsia="宋体"/>
          <w:color w:val="FF0000"/>
        </w:rPr>
        <w:fldChar w:fldCharType="end"/>
      </w:r>
    </w:p>
    <w:p w14:paraId="340D67F8">
      <w:pPr>
        <w:pStyle w:val="8"/>
        <w:ind w:left="480" w:firstLine="480"/>
        <w:outlineLvl w:val="9"/>
        <w:rPr>
          <w:rFonts w:eastAsia="宋体"/>
          <w:color w:val="FF0000"/>
        </w:rPr>
      </w:pPr>
      <w:r>
        <w:rPr>
          <w:rFonts w:eastAsia="宋体"/>
          <w:color w:val="FF0000"/>
        </w:rPr>
        <w:fldChar w:fldCharType="end"/>
      </w:r>
    </w:p>
    <w:p w14:paraId="739DC46E">
      <w:pPr>
        <w:pStyle w:val="8"/>
        <w:ind w:left="480" w:firstLine="480"/>
        <w:outlineLvl w:val="9"/>
        <w:rPr>
          <w:rFonts w:eastAsia="宋体"/>
          <w:color w:val="FF0000"/>
        </w:rPr>
        <w:sectPr>
          <w:footerReference r:id="rId13" w:type="default"/>
          <w:pgSz w:w="11906" w:h="16838"/>
          <w:pgMar w:top="1440" w:right="1800" w:bottom="1440" w:left="1800" w:header="851" w:footer="992" w:gutter="0"/>
          <w:pgNumType w:fmt="upperRoman"/>
          <w:cols w:space="720" w:num="1"/>
          <w:docGrid w:type="lines" w:linePitch="312" w:charSpace="0"/>
        </w:sectPr>
      </w:pPr>
    </w:p>
    <w:p w14:paraId="14634AC2">
      <w:pPr>
        <w:pStyle w:val="2"/>
        <w:rPr>
          <w:rFonts w:eastAsia="宋体"/>
          <w:sz w:val="24"/>
          <w:szCs w:val="24"/>
        </w:rPr>
      </w:pPr>
      <w:bookmarkStart w:id="14" w:name="_Toc7594"/>
      <w:bookmarkStart w:id="15" w:name="_Toc9632"/>
      <w:r>
        <w:rPr>
          <w:rFonts w:eastAsia="宋体"/>
          <w:sz w:val="24"/>
          <w:szCs w:val="24"/>
        </w:rPr>
        <w:t>1概述</w:t>
      </w:r>
      <w:bookmarkEnd w:id="14"/>
      <w:bookmarkEnd w:id="15"/>
    </w:p>
    <w:p w14:paraId="2AA75B62">
      <w:pPr>
        <w:pStyle w:val="13"/>
        <w:widowControl/>
        <w:adjustRightInd/>
        <w:snapToGrid/>
        <w:spacing w:beforeAutospacing="0" w:afterAutospacing="0"/>
        <w:ind w:firstLine="0" w:firstLineChars="0"/>
        <w:outlineLvl w:val="1"/>
        <w:rPr>
          <w:rFonts w:hint="eastAsia" w:eastAsia="宋体"/>
          <w:b/>
          <w:bCs/>
        </w:rPr>
      </w:pPr>
      <w:bookmarkStart w:id="16" w:name="_Toc31005"/>
      <w:bookmarkStart w:id="17" w:name="_Toc30667"/>
      <w:r>
        <w:rPr>
          <w:rFonts w:eastAsia="宋体"/>
          <w:b/>
          <w:bCs/>
        </w:rPr>
        <w:t>1.1</w:t>
      </w:r>
      <w:r>
        <w:rPr>
          <w:rFonts w:hint="eastAsia" w:eastAsia="宋体"/>
          <w:b/>
          <w:bCs/>
        </w:rPr>
        <w:t>项目概况</w:t>
      </w:r>
      <w:bookmarkEnd w:id="16"/>
      <w:bookmarkEnd w:id="17"/>
    </w:p>
    <w:p w14:paraId="510BAAB9">
      <w:pPr>
        <w:adjustRightInd/>
        <w:snapToGrid/>
        <w:ind w:firstLine="480"/>
        <w:rPr>
          <w:rFonts w:hint="eastAsia" w:eastAsia="宋体"/>
          <w:lang w:eastAsia="zh-CN"/>
        </w:rPr>
      </w:pPr>
      <w:r>
        <w:rPr>
          <w:rFonts w:eastAsia="宋体"/>
        </w:rPr>
        <w:t>项目名称：</w:t>
      </w:r>
      <w:bookmarkStart w:id="18" w:name="_Hlk194347542"/>
      <w:r>
        <w:rPr>
          <w:rFonts w:hint="eastAsia" w:eastAsia="宋体"/>
          <w:lang w:eastAsia="zh-CN"/>
        </w:rPr>
        <w:t>茵梦达（天津）驱动技术有限公司</w:t>
      </w:r>
      <w:bookmarkEnd w:id="18"/>
      <w:r>
        <w:rPr>
          <w:rFonts w:hint="eastAsia" w:eastAsia="宋体"/>
          <w:lang w:eastAsia="zh-CN"/>
        </w:rPr>
        <w:t>茵梦达（驱动技术）研发生产基地项目</w:t>
      </w:r>
    </w:p>
    <w:p w14:paraId="3E0D90FA">
      <w:pPr>
        <w:adjustRightInd/>
        <w:snapToGrid/>
        <w:ind w:firstLine="480"/>
        <w:rPr>
          <w:rFonts w:hint="eastAsia" w:eastAsia="宋体"/>
          <w:lang w:val="en-US" w:eastAsia="zh-CN"/>
        </w:rPr>
      </w:pPr>
      <w:r>
        <w:rPr>
          <w:rFonts w:eastAsia="宋体"/>
        </w:rPr>
        <w:t>建设性质：</w:t>
      </w:r>
      <w:r>
        <w:rPr>
          <w:rFonts w:hint="eastAsia" w:eastAsia="宋体"/>
          <w:lang w:val="en-US" w:eastAsia="zh-CN"/>
        </w:rPr>
        <w:t>新建</w:t>
      </w:r>
    </w:p>
    <w:p w14:paraId="1C1931DA">
      <w:pPr>
        <w:adjustRightInd/>
        <w:snapToGrid/>
        <w:ind w:firstLine="480"/>
        <w:rPr>
          <w:rFonts w:eastAsia="宋体"/>
        </w:rPr>
      </w:pPr>
      <w:r>
        <w:rPr>
          <w:rFonts w:eastAsia="宋体"/>
        </w:rPr>
        <w:t>项目投资：总投资</w:t>
      </w:r>
      <w:r>
        <w:rPr>
          <w:rFonts w:hint="eastAsia" w:eastAsia="宋体"/>
          <w:lang w:val="en-US" w:eastAsia="zh-CN"/>
        </w:rPr>
        <w:t>20000</w:t>
      </w:r>
      <w:r>
        <w:rPr>
          <w:rFonts w:eastAsia="宋体"/>
        </w:rPr>
        <w:t>万元。</w:t>
      </w:r>
    </w:p>
    <w:p w14:paraId="4689E363">
      <w:pPr>
        <w:adjustRightInd/>
        <w:snapToGrid/>
        <w:ind w:firstLine="480"/>
        <w:rPr>
          <w:rFonts w:hint="eastAsia" w:eastAsia="宋体"/>
        </w:rPr>
      </w:pPr>
      <w:r>
        <w:rPr>
          <w:rFonts w:hint="eastAsia" w:eastAsia="宋体"/>
        </w:rPr>
        <w:t>建设地点：</w:t>
      </w:r>
      <w:r>
        <w:rPr>
          <w:rFonts w:hint="eastAsia" w:ascii="Times New Roman" w:hAnsi="Times New Roman" w:eastAsia="宋体"/>
        </w:rPr>
        <w:t>天津市北辰区天津高端装备制造产业园兴河路与永进道交口东南</w:t>
      </w:r>
    </w:p>
    <w:p w14:paraId="72FA3E86">
      <w:pPr>
        <w:adjustRightInd/>
        <w:snapToGrid/>
        <w:ind w:firstLine="480"/>
        <w:rPr>
          <w:rFonts w:ascii="Times New Roman" w:hAnsi="Times New Roman" w:eastAsia="宋体"/>
        </w:rPr>
      </w:pPr>
      <w:r>
        <w:rPr>
          <w:rFonts w:hint="eastAsia" w:ascii="Times New Roman" w:hAnsi="Times New Roman" w:eastAsia="宋体"/>
        </w:rPr>
        <w:t>建设内容：</w:t>
      </w:r>
      <w:bookmarkStart w:id="19" w:name="_Hlk194347625"/>
      <w:r>
        <w:rPr>
          <w:rFonts w:ascii="Times New Roman" w:hAnsi="Times New Roman" w:eastAsia="宋体"/>
        </w:rPr>
        <w:t>购置</w:t>
      </w:r>
      <w:r>
        <w:rPr>
          <w:rFonts w:hint="eastAsia" w:ascii="Times New Roman" w:hAnsi="Times New Roman" w:eastAsia="宋体"/>
        </w:rPr>
        <w:t>并</w:t>
      </w:r>
      <w:r>
        <w:rPr>
          <w:rFonts w:ascii="Times New Roman" w:hAnsi="Times New Roman" w:eastAsia="宋体"/>
        </w:rPr>
        <w:t>安装焊接、浸渍、喷涂等设备</w:t>
      </w:r>
      <w:r>
        <w:rPr>
          <w:rFonts w:hint="eastAsia" w:ascii="Times New Roman" w:hAnsi="Times New Roman" w:eastAsia="宋体"/>
        </w:rPr>
        <w:t>，</w:t>
      </w:r>
      <w:r>
        <w:rPr>
          <w:rFonts w:ascii="Times New Roman" w:hAnsi="Times New Roman" w:eastAsia="宋体"/>
        </w:rPr>
        <w:t>生产工业电机产品，产能6000台/年</w:t>
      </w:r>
      <w:r>
        <w:rPr>
          <w:rFonts w:hint="eastAsia" w:ascii="Times New Roman" w:hAnsi="Times New Roman" w:eastAsia="宋体"/>
        </w:rPr>
        <w:t>。</w:t>
      </w:r>
      <w:bookmarkEnd w:id="19"/>
    </w:p>
    <w:p w14:paraId="1A301C61">
      <w:pPr>
        <w:adjustRightInd/>
        <w:snapToGrid/>
        <w:ind w:firstLine="480"/>
        <w:rPr>
          <w:rFonts w:hint="eastAsia" w:eastAsia="宋体"/>
          <w:lang w:eastAsia="zh-CN"/>
        </w:rPr>
      </w:pPr>
      <w:r>
        <w:rPr>
          <w:rFonts w:hint="eastAsia" w:eastAsia="宋体"/>
        </w:rPr>
        <w:t>建设单位：</w:t>
      </w:r>
      <w:r>
        <w:rPr>
          <w:rFonts w:hint="eastAsia" w:eastAsia="宋体"/>
          <w:lang w:eastAsia="zh-CN"/>
        </w:rPr>
        <w:t>茵梦达（天津）驱动技术有限公司</w:t>
      </w:r>
    </w:p>
    <w:p w14:paraId="36202838">
      <w:pPr>
        <w:adjustRightInd/>
        <w:snapToGrid/>
        <w:ind w:firstLine="480"/>
        <w:rPr>
          <w:rFonts w:hint="default" w:eastAsia="宋体"/>
          <w:lang w:val="en-US" w:eastAsia="zh-CN"/>
        </w:rPr>
      </w:pPr>
      <w:r>
        <w:rPr>
          <w:rFonts w:hint="eastAsia" w:eastAsia="宋体"/>
        </w:rPr>
        <w:t>联系人：</w:t>
      </w:r>
      <w:r>
        <w:rPr>
          <w:rFonts w:hint="eastAsia" w:eastAsia="宋体"/>
          <w:lang w:val="en-US" w:eastAsia="zh-CN"/>
        </w:rPr>
        <w:t>赵</w:t>
      </w:r>
      <w:r>
        <w:rPr>
          <w:rFonts w:hint="eastAsia" w:eastAsia="宋体"/>
        </w:rPr>
        <w:t xml:space="preserve">工 </w:t>
      </w:r>
      <w:r>
        <w:rPr>
          <w:rFonts w:eastAsia="宋体"/>
        </w:rPr>
        <w:t xml:space="preserve">   </w:t>
      </w:r>
      <w:r>
        <w:rPr>
          <w:rFonts w:hint="eastAsia" w:eastAsia="宋体"/>
        </w:rPr>
        <w:t>联系电话：</w:t>
      </w:r>
      <w:r>
        <w:rPr>
          <w:rFonts w:hint="eastAsia" w:eastAsia="宋体"/>
          <w:lang w:val="en-US" w:eastAsia="zh-CN"/>
        </w:rPr>
        <w:t>15620985070</w:t>
      </w:r>
    </w:p>
    <w:p w14:paraId="51A356AD">
      <w:pPr>
        <w:adjustRightInd/>
        <w:snapToGrid/>
        <w:ind w:firstLine="480"/>
        <w:rPr>
          <w:rFonts w:hint="eastAsia" w:eastAsia="宋体"/>
        </w:rPr>
      </w:pPr>
      <w:r>
        <w:rPr>
          <w:rFonts w:hint="eastAsia" w:eastAsia="宋体"/>
        </w:rPr>
        <w:t>环境影响报告书编制单位：天津欣国环环保科技有限公司</w:t>
      </w:r>
    </w:p>
    <w:p w14:paraId="2FF4AEB7">
      <w:pPr>
        <w:pStyle w:val="13"/>
        <w:widowControl/>
        <w:adjustRightInd/>
        <w:snapToGrid/>
        <w:spacing w:beforeAutospacing="0" w:afterAutospacing="0"/>
        <w:ind w:firstLine="0" w:firstLineChars="0"/>
        <w:outlineLvl w:val="1"/>
        <w:rPr>
          <w:rFonts w:hint="eastAsia" w:eastAsia="宋体"/>
          <w:b/>
          <w:bCs/>
        </w:rPr>
      </w:pPr>
      <w:bookmarkStart w:id="20" w:name="_Toc6228"/>
      <w:bookmarkStart w:id="21" w:name="_Toc9462"/>
      <w:r>
        <w:rPr>
          <w:rFonts w:eastAsia="宋体"/>
          <w:b/>
          <w:bCs/>
        </w:rPr>
        <w:t>1.2</w:t>
      </w:r>
      <w:r>
        <w:rPr>
          <w:rFonts w:hint="eastAsia" w:eastAsia="宋体"/>
          <w:b/>
          <w:bCs/>
        </w:rPr>
        <w:t>工作依据</w:t>
      </w:r>
      <w:bookmarkEnd w:id="20"/>
      <w:bookmarkEnd w:id="21"/>
    </w:p>
    <w:p w14:paraId="5255A234">
      <w:pPr>
        <w:adjustRightInd/>
        <w:snapToGrid/>
        <w:ind w:firstLine="480"/>
        <w:rPr>
          <w:rFonts w:eastAsia="宋体"/>
        </w:rPr>
      </w:pPr>
      <w:r>
        <w:rPr>
          <w:rFonts w:hint="eastAsia" w:eastAsia="宋体"/>
        </w:rPr>
        <w:t>（</w:t>
      </w:r>
      <w:r>
        <w:rPr>
          <w:rFonts w:eastAsia="宋体"/>
        </w:rPr>
        <w:t>1</w:t>
      </w:r>
      <w:r>
        <w:rPr>
          <w:rFonts w:hint="eastAsia" w:eastAsia="宋体"/>
        </w:rPr>
        <w:t>）《中华人民共和国环境保护法》，（</w:t>
      </w:r>
      <w:r>
        <w:rPr>
          <w:rFonts w:eastAsia="宋体"/>
        </w:rPr>
        <w:t>2014</w:t>
      </w:r>
      <w:r>
        <w:rPr>
          <w:rFonts w:hint="eastAsia" w:eastAsia="宋体"/>
        </w:rPr>
        <w:t>年</w:t>
      </w:r>
      <w:r>
        <w:rPr>
          <w:rFonts w:eastAsia="宋体"/>
        </w:rPr>
        <w:t>4</w:t>
      </w:r>
      <w:r>
        <w:rPr>
          <w:rFonts w:hint="eastAsia" w:eastAsia="宋体"/>
        </w:rPr>
        <w:t>月</w:t>
      </w:r>
      <w:r>
        <w:rPr>
          <w:rFonts w:eastAsia="宋体"/>
        </w:rPr>
        <w:t>24</w:t>
      </w:r>
      <w:r>
        <w:rPr>
          <w:rFonts w:hint="eastAsia" w:eastAsia="宋体"/>
        </w:rPr>
        <w:t>日修订，</w:t>
      </w:r>
      <w:r>
        <w:rPr>
          <w:rFonts w:eastAsia="宋体"/>
        </w:rPr>
        <w:t>2015</w:t>
      </w:r>
      <w:r>
        <w:rPr>
          <w:rFonts w:hint="eastAsia" w:eastAsia="宋体"/>
        </w:rPr>
        <w:t>年</w:t>
      </w:r>
      <w:r>
        <w:rPr>
          <w:rFonts w:eastAsia="宋体"/>
        </w:rPr>
        <w:t>1</w:t>
      </w:r>
      <w:r>
        <w:rPr>
          <w:rFonts w:hint="eastAsia" w:eastAsia="宋体"/>
        </w:rPr>
        <w:t>月</w:t>
      </w:r>
      <w:r>
        <w:rPr>
          <w:rFonts w:eastAsia="宋体"/>
        </w:rPr>
        <w:t>1</w:t>
      </w:r>
      <w:r>
        <w:rPr>
          <w:rFonts w:hint="eastAsia" w:eastAsia="宋体"/>
        </w:rPr>
        <w:t>日施行）；</w:t>
      </w:r>
      <w:r>
        <w:rPr>
          <w:rFonts w:eastAsia="宋体"/>
        </w:rPr>
        <w:t xml:space="preserve"> </w:t>
      </w:r>
    </w:p>
    <w:p w14:paraId="0AFB8CF0">
      <w:pPr>
        <w:adjustRightInd/>
        <w:snapToGrid/>
        <w:ind w:firstLine="480"/>
        <w:rPr>
          <w:rFonts w:eastAsia="宋体"/>
        </w:rPr>
      </w:pPr>
      <w:r>
        <w:rPr>
          <w:rFonts w:hint="eastAsia" w:eastAsia="宋体"/>
        </w:rPr>
        <w:t>（</w:t>
      </w:r>
      <w:r>
        <w:rPr>
          <w:rFonts w:eastAsia="宋体"/>
        </w:rPr>
        <w:t>2</w:t>
      </w:r>
      <w:r>
        <w:rPr>
          <w:rFonts w:hint="eastAsia" w:eastAsia="宋体"/>
        </w:rPr>
        <w:t>）《中华人民共和国环境影响评价法》（</w:t>
      </w:r>
      <w:r>
        <w:rPr>
          <w:rFonts w:eastAsia="宋体"/>
        </w:rPr>
        <w:t>2018</w:t>
      </w:r>
      <w:r>
        <w:rPr>
          <w:rFonts w:hint="eastAsia" w:eastAsia="宋体"/>
        </w:rPr>
        <w:t>年</w:t>
      </w:r>
      <w:r>
        <w:rPr>
          <w:rFonts w:eastAsia="宋体"/>
        </w:rPr>
        <w:t>12</w:t>
      </w:r>
      <w:r>
        <w:rPr>
          <w:rFonts w:hint="eastAsia" w:eastAsia="宋体"/>
        </w:rPr>
        <w:t>月</w:t>
      </w:r>
      <w:r>
        <w:rPr>
          <w:rFonts w:eastAsia="宋体"/>
        </w:rPr>
        <w:t>29</w:t>
      </w:r>
      <w:r>
        <w:rPr>
          <w:rFonts w:hint="eastAsia" w:eastAsia="宋体"/>
        </w:rPr>
        <w:t>日修订）；</w:t>
      </w:r>
      <w:r>
        <w:rPr>
          <w:rFonts w:eastAsia="宋体"/>
        </w:rPr>
        <w:t xml:space="preserve"> </w:t>
      </w:r>
    </w:p>
    <w:p w14:paraId="44F21464">
      <w:pPr>
        <w:adjustRightInd/>
        <w:snapToGrid/>
        <w:ind w:firstLine="480"/>
        <w:rPr>
          <w:rFonts w:eastAsia="宋体"/>
        </w:rPr>
      </w:pPr>
      <w:r>
        <w:rPr>
          <w:rFonts w:hint="eastAsia" w:eastAsia="宋体"/>
        </w:rPr>
        <w:t>（</w:t>
      </w:r>
      <w:r>
        <w:rPr>
          <w:rFonts w:eastAsia="宋体"/>
        </w:rPr>
        <w:t>3</w:t>
      </w:r>
      <w:r>
        <w:rPr>
          <w:rFonts w:hint="eastAsia" w:eastAsia="宋体"/>
        </w:rPr>
        <w:t>）《环境影响评价公众参与办法》（生态环境部令第</w:t>
      </w:r>
      <w:r>
        <w:rPr>
          <w:rFonts w:eastAsia="宋体"/>
        </w:rPr>
        <w:t>4</w:t>
      </w:r>
      <w:r>
        <w:rPr>
          <w:rFonts w:hint="eastAsia" w:eastAsia="宋体"/>
        </w:rPr>
        <w:t>号，</w:t>
      </w:r>
      <w:r>
        <w:rPr>
          <w:rFonts w:eastAsia="宋体"/>
        </w:rPr>
        <w:t>2019</w:t>
      </w:r>
      <w:r>
        <w:rPr>
          <w:rFonts w:hint="eastAsia" w:eastAsia="宋体"/>
        </w:rPr>
        <w:t>年</w:t>
      </w:r>
      <w:r>
        <w:rPr>
          <w:rFonts w:eastAsia="宋体"/>
        </w:rPr>
        <w:t>1</w:t>
      </w:r>
      <w:r>
        <w:rPr>
          <w:rFonts w:hint="eastAsia" w:eastAsia="宋体"/>
        </w:rPr>
        <w:t>月</w:t>
      </w:r>
      <w:r>
        <w:rPr>
          <w:rFonts w:eastAsia="宋体"/>
        </w:rPr>
        <w:t>1</w:t>
      </w:r>
      <w:r>
        <w:rPr>
          <w:rFonts w:hint="eastAsia" w:eastAsia="宋体"/>
        </w:rPr>
        <w:t>日施行）；</w:t>
      </w:r>
      <w:r>
        <w:rPr>
          <w:rFonts w:eastAsia="宋体"/>
        </w:rPr>
        <w:t xml:space="preserve"> </w:t>
      </w:r>
    </w:p>
    <w:p w14:paraId="5EDC9619">
      <w:pPr>
        <w:adjustRightInd/>
        <w:snapToGrid/>
        <w:ind w:firstLine="480"/>
        <w:rPr>
          <w:rFonts w:eastAsia="宋体"/>
        </w:rPr>
      </w:pPr>
      <w:r>
        <w:rPr>
          <w:rFonts w:hint="eastAsia" w:eastAsia="宋体"/>
        </w:rPr>
        <w:t>（</w:t>
      </w:r>
      <w:r>
        <w:rPr>
          <w:rFonts w:eastAsia="宋体"/>
        </w:rPr>
        <w:t>4</w:t>
      </w:r>
      <w:r>
        <w:rPr>
          <w:rFonts w:hint="eastAsia" w:eastAsia="宋体"/>
        </w:rPr>
        <w:t>）关于发布《环境影响评价公众参与办法》配套文件的公告（生态环境部，</w:t>
      </w:r>
      <w:r>
        <w:rPr>
          <w:rFonts w:eastAsia="宋体"/>
        </w:rPr>
        <w:t>2018</w:t>
      </w:r>
      <w:r>
        <w:rPr>
          <w:rFonts w:hint="eastAsia" w:eastAsia="宋体"/>
        </w:rPr>
        <w:t>年</w:t>
      </w:r>
      <w:r>
        <w:rPr>
          <w:rFonts w:eastAsia="宋体"/>
        </w:rPr>
        <w:t>10</w:t>
      </w:r>
      <w:r>
        <w:rPr>
          <w:rFonts w:hint="eastAsia" w:eastAsia="宋体"/>
        </w:rPr>
        <w:t>月</w:t>
      </w:r>
      <w:r>
        <w:rPr>
          <w:rFonts w:eastAsia="宋体"/>
        </w:rPr>
        <w:t>12</w:t>
      </w:r>
      <w:r>
        <w:rPr>
          <w:rFonts w:hint="eastAsia" w:eastAsia="宋体"/>
        </w:rPr>
        <w:t>日）。</w:t>
      </w:r>
    </w:p>
    <w:p w14:paraId="244DF070">
      <w:pPr>
        <w:pStyle w:val="13"/>
        <w:widowControl/>
        <w:adjustRightInd/>
        <w:snapToGrid/>
        <w:spacing w:beforeAutospacing="0" w:afterAutospacing="0"/>
        <w:ind w:firstLine="0" w:firstLineChars="0"/>
        <w:outlineLvl w:val="1"/>
        <w:rPr>
          <w:rFonts w:hint="eastAsia" w:eastAsia="宋体"/>
          <w:b/>
          <w:bCs/>
        </w:rPr>
      </w:pPr>
      <w:bookmarkStart w:id="22" w:name="_Toc29380"/>
      <w:bookmarkStart w:id="23" w:name="_Toc12557"/>
      <w:r>
        <w:rPr>
          <w:rFonts w:eastAsia="宋体"/>
          <w:b/>
          <w:bCs/>
        </w:rPr>
        <w:t>1.3</w:t>
      </w:r>
      <w:r>
        <w:rPr>
          <w:rFonts w:hint="eastAsia" w:eastAsia="宋体"/>
          <w:b/>
          <w:bCs/>
        </w:rPr>
        <w:t>工作目的和原则</w:t>
      </w:r>
      <w:bookmarkEnd w:id="22"/>
      <w:bookmarkEnd w:id="23"/>
    </w:p>
    <w:p w14:paraId="2481E08B">
      <w:pPr>
        <w:adjustRightInd/>
        <w:snapToGrid/>
        <w:ind w:firstLine="480"/>
        <w:outlineLvl w:val="2"/>
        <w:rPr>
          <w:rFonts w:hint="eastAsia" w:eastAsia="宋体"/>
        </w:rPr>
      </w:pPr>
      <w:bookmarkStart w:id="24" w:name="_Toc12670"/>
      <w:r>
        <w:rPr>
          <w:rFonts w:hint="eastAsia" w:eastAsia="宋体"/>
        </w:rPr>
        <w:t>1</w:t>
      </w:r>
      <w:r>
        <w:rPr>
          <w:rFonts w:eastAsia="宋体"/>
        </w:rPr>
        <w:t xml:space="preserve">.3.1 </w:t>
      </w:r>
      <w:r>
        <w:rPr>
          <w:rFonts w:hint="eastAsia" w:eastAsia="宋体"/>
        </w:rPr>
        <w:t>工作目的</w:t>
      </w:r>
      <w:bookmarkEnd w:id="24"/>
    </w:p>
    <w:p w14:paraId="0717F095">
      <w:pPr>
        <w:adjustRightInd/>
        <w:snapToGrid/>
        <w:ind w:firstLine="480"/>
        <w:rPr>
          <w:rFonts w:eastAsia="宋体"/>
        </w:rPr>
      </w:pPr>
      <w:r>
        <w:rPr>
          <w:rFonts w:hint="eastAsia" w:eastAsia="宋体"/>
        </w:rPr>
        <w:t>公众参与是项目建设单位同公众之间的一种双向交流过程，其目的是使项目能被公众充分认可并提高项目的环境效益和经济效益。</w:t>
      </w:r>
      <w:r>
        <w:rPr>
          <w:rFonts w:eastAsia="宋体"/>
        </w:rPr>
        <w:t xml:space="preserve"> </w:t>
      </w:r>
    </w:p>
    <w:p w14:paraId="75DA9B23">
      <w:pPr>
        <w:adjustRightInd/>
        <w:snapToGrid/>
        <w:ind w:firstLine="480"/>
        <w:rPr>
          <w:rFonts w:eastAsia="宋体"/>
        </w:rPr>
      </w:pPr>
      <w:r>
        <w:rPr>
          <w:rFonts w:hint="eastAsia" w:eastAsia="宋体"/>
        </w:rPr>
        <w:t>项目开发与建设，从施工、建成直至运营必将对周围的自然环境和社会环境带来有利或不利的影响，从而直接或间接影响附近地区公众的生活、工作、学习。公众的参与可以弥补环境评价中可能存在的遗漏和疏忽，能更全面地保护自然、社会环境。通过采纳公众的各种合理意见和看法，能使项目的规划设计更完善合理，使环保措施更切实可行，从而使项目发挥更好的环境效益、经济效益和社会效益。</w:t>
      </w:r>
      <w:r>
        <w:rPr>
          <w:rFonts w:eastAsia="宋体"/>
        </w:rPr>
        <w:t xml:space="preserve"> </w:t>
      </w:r>
    </w:p>
    <w:p w14:paraId="6A4F9055">
      <w:pPr>
        <w:adjustRightInd/>
        <w:snapToGrid/>
        <w:ind w:firstLine="480"/>
        <w:rPr>
          <w:rFonts w:eastAsia="宋体"/>
        </w:rPr>
      </w:pPr>
      <w:r>
        <w:rPr>
          <w:rFonts w:hint="eastAsia" w:eastAsia="宋体"/>
        </w:rPr>
        <w:t>通过公众参与，让更多的人了解拟建项目的意义及可能引发的环境问题，力求得到公众的支持和谅解，有利于工程的顺利推进。此外，公众参与对于提高全民环保意识，自觉参与环境保护工作具有促进作用。</w:t>
      </w:r>
    </w:p>
    <w:p w14:paraId="08D0B868">
      <w:pPr>
        <w:adjustRightInd/>
        <w:snapToGrid/>
        <w:ind w:firstLine="480"/>
        <w:outlineLvl w:val="2"/>
        <w:rPr>
          <w:rFonts w:eastAsia="宋体"/>
        </w:rPr>
      </w:pPr>
      <w:bookmarkStart w:id="25" w:name="_Toc26708"/>
      <w:r>
        <w:rPr>
          <w:rFonts w:eastAsia="宋体"/>
        </w:rPr>
        <w:t xml:space="preserve">1.3.2 </w:t>
      </w:r>
      <w:r>
        <w:rPr>
          <w:rFonts w:hint="eastAsia" w:eastAsia="宋体"/>
        </w:rPr>
        <w:t>工作原则</w:t>
      </w:r>
      <w:bookmarkEnd w:id="25"/>
      <w:r>
        <w:rPr>
          <w:rFonts w:eastAsia="宋体"/>
        </w:rPr>
        <w:t xml:space="preserve"> </w:t>
      </w:r>
    </w:p>
    <w:p w14:paraId="29B556A1">
      <w:pPr>
        <w:adjustRightInd/>
        <w:snapToGrid/>
        <w:ind w:firstLine="480"/>
        <w:rPr>
          <w:rFonts w:eastAsia="宋体"/>
        </w:rPr>
      </w:pPr>
      <w:r>
        <w:rPr>
          <w:rFonts w:hint="eastAsia" w:eastAsia="宋体"/>
        </w:rPr>
        <w:t>本次公众参与严格按照国家有关建设项目公众参与的要求进行，按照国家、天津市各项法律法规要求，坚持公众参与合法性、有效性、真实性和代表性的原则。</w:t>
      </w:r>
    </w:p>
    <w:p w14:paraId="58F5F527">
      <w:pPr>
        <w:pStyle w:val="13"/>
        <w:widowControl/>
        <w:adjustRightInd/>
        <w:snapToGrid/>
        <w:spacing w:beforeAutospacing="0" w:afterAutospacing="0"/>
        <w:ind w:firstLine="0" w:firstLineChars="0"/>
        <w:outlineLvl w:val="1"/>
      </w:pPr>
      <w:bookmarkStart w:id="26" w:name="_Toc31125"/>
      <w:bookmarkStart w:id="27" w:name="_Toc26741"/>
      <w:r>
        <w:rPr>
          <w:rFonts w:eastAsia="宋体"/>
          <w:b/>
          <w:bCs/>
        </w:rPr>
        <w:t>1.4</w:t>
      </w:r>
      <w:r>
        <w:rPr>
          <w:rFonts w:hint="eastAsia" w:eastAsia="宋体"/>
          <w:b/>
          <w:bCs/>
        </w:rPr>
        <w:t>公众参与总体方案概述</w:t>
      </w:r>
      <w:bookmarkEnd w:id="26"/>
      <w:bookmarkEnd w:id="27"/>
    </w:p>
    <w:p w14:paraId="1BCB66C3">
      <w:pPr>
        <w:adjustRightInd/>
        <w:snapToGrid/>
        <w:ind w:firstLine="480"/>
        <w:outlineLvl w:val="2"/>
        <w:rPr>
          <w:rFonts w:eastAsia="宋体"/>
        </w:rPr>
      </w:pPr>
      <w:bookmarkStart w:id="28" w:name="_Toc16658"/>
      <w:r>
        <w:rPr>
          <w:rFonts w:eastAsia="宋体"/>
        </w:rPr>
        <w:t xml:space="preserve">1.4.1 </w:t>
      </w:r>
      <w:r>
        <w:rPr>
          <w:rFonts w:hint="eastAsia" w:eastAsia="宋体"/>
        </w:rPr>
        <w:t>实施主体</w:t>
      </w:r>
      <w:bookmarkEnd w:id="28"/>
      <w:r>
        <w:rPr>
          <w:rFonts w:eastAsia="宋体"/>
        </w:rPr>
        <w:t xml:space="preserve"> </w:t>
      </w:r>
    </w:p>
    <w:p w14:paraId="53937430">
      <w:pPr>
        <w:adjustRightInd/>
        <w:snapToGrid/>
        <w:ind w:firstLine="480"/>
        <w:rPr>
          <w:rFonts w:eastAsia="宋体"/>
        </w:rPr>
      </w:pPr>
      <w:r>
        <w:rPr>
          <w:rFonts w:hint="eastAsia" w:eastAsia="宋体"/>
        </w:rPr>
        <w:t>本次公众参与实施主体为</w:t>
      </w:r>
      <w:r>
        <w:rPr>
          <w:rFonts w:hint="eastAsia" w:eastAsia="宋体"/>
          <w:lang w:eastAsia="zh-CN"/>
        </w:rPr>
        <w:t>茵梦达（天津）驱动技术有限公司</w:t>
      </w:r>
      <w:r>
        <w:rPr>
          <w:rFonts w:hint="eastAsia" w:eastAsia="宋体"/>
        </w:rPr>
        <w:t>（即建设单位，以下简称</w:t>
      </w:r>
      <w:r>
        <w:rPr>
          <w:rFonts w:eastAsia="宋体"/>
        </w:rPr>
        <w:t>“</w:t>
      </w:r>
      <w:r>
        <w:rPr>
          <w:rFonts w:hint="eastAsia" w:eastAsia="宋体"/>
          <w:lang w:val="en-US" w:eastAsia="zh-CN"/>
        </w:rPr>
        <w:t>茵梦达</w:t>
      </w:r>
      <w:r>
        <w:rPr>
          <w:rFonts w:eastAsia="宋体"/>
        </w:rPr>
        <w:t>”</w:t>
      </w:r>
      <w:r>
        <w:rPr>
          <w:rFonts w:hint="eastAsia" w:eastAsia="宋体"/>
        </w:rPr>
        <w:t>），天津欣国环环保科技有限公司作为建设单位委托的评价单位，协助建设单位开展本项目环评的公众参与工作。</w:t>
      </w:r>
      <w:r>
        <w:rPr>
          <w:rFonts w:eastAsia="宋体"/>
        </w:rPr>
        <w:t xml:space="preserve"> </w:t>
      </w:r>
    </w:p>
    <w:p w14:paraId="401CAFEF">
      <w:pPr>
        <w:adjustRightInd/>
        <w:snapToGrid/>
        <w:ind w:firstLine="480"/>
        <w:outlineLvl w:val="2"/>
        <w:rPr>
          <w:rFonts w:eastAsia="宋体"/>
        </w:rPr>
      </w:pPr>
      <w:bookmarkStart w:id="29" w:name="_Toc5992"/>
      <w:r>
        <w:rPr>
          <w:rFonts w:eastAsia="宋体"/>
        </w:rPr>
        <w:t xml:space="preserve">1.4.2 </w:t>
      </w:r>
      <w:r>
        <w:rPr>
          <w:rFonts w:hint="eastAsia" w:eastAsia="宋体"/>
        </w:rPr>
        <w:t>公众参与对象</w:t>
      </w:r>
      <w:bookmarkEnd w:id="29"/>
      <w:r>
        <w:rPr>
          <w:rFonts w:eastAsia="宋体"/>
        </w:rPr>
        <w:t xml:space="preserve"> </w:t>
      </w:r>
    </w:p>
    <w:p w14:paraId="3F95EC9C">
      <w:pPr>
        <w:adjustRightInd/>
        <w:snapToGrid/>
        <w:ind w:firstLine="480"/>
        <w:rPr>
          <w:rFonts w:eastAsia="宋体"/>
        </w:rPr>
      </w:pPr>
      <w:r>
        <w:rPr>
          <w:rFonts w:hint="eastAsia" w:eastAsia="宋体"/>
        </w:rPr>
        <w:t>本次公众参与的对象为本项目环境影响评价范围内的公民、法人和其他组织。</w:t>
      </w:r>
      <w:r>
        <w:rPr>
          <w:rFonts w:eastAsia="宋体"/>
        </w:rPr>
        <w:t xml:space="preserve"> </w:t>
      </w:r>
    </w:p>
    <w:p w14:paraId="07CD9F0E">
      <w:pPr>
        <w:adjustRightInd/>
        <w:snapToGrid/>
        <w:ind w:firstLine="480"/>
        <w:outlineLvl w:val="2"/>
        <w:rPr>
          <w:rFonts w:hint="eastAsia" w:eastAsia="宋体"/>
        </w:rPr>
      </w:pPr>
      <w:bookmarkStart w:id="30" w:name="_Toc29264"/>
      <w:r>
        <w:rPr>
          <w:rFonts w:eastAsia="宋体"/>
        </w:rPr>
        <w:t xml:space="preserve">1.4.3 </w:t>
      </w:r>
      <w:r>
        <w:rPr>
          <w:rFonts w:hint="eastAsia" w:eastAsia="宋体"/>
        </w:rPr>
        <w:t>公众参与主要方式</w:t>
      </w:r>
      <w:bookmarkEnd w:id="30"/>
    </w:p>
    <w:p w14:paraId="04633A91">
      <w:pPr>
        <w:adjustRightInd/>
        <w:snapToGrid/>
        <w:ind w:firstLine="480"/>
        <w:rPr>
          <w:rFonts w:eastAsia="宋体"/>
        </w:rPr>
      </w:pPr>
      <w:r>
        <w:rPr>
          <w:rFonts w:hint="eastAsia" w:eastAsia="宋体"/>
        </w:rPr>
        <w:t>本次公众参与主要通过网络平台公开、报纸公开、张贴公告等3种方式开展。</w:t>
      </w:r>
      <w:r>
        <w:rPr>
          <w:rFonts w:eastAsia="宋体"/>
        </w:rPr>
        <w:t xml:space="preserve"> </w:t>
      </w:r>
    </w:p>
    <w:p w14:paraId="2C6933FB">
      <w:pPr>
        <w:adjustRightInd/>
        <w:snapToGrid/>
        <w:ind w:firstLine="480"/>
        <w:rPr>
          <w:rFonts w:eastAsia="宋体"/>
        </w:rPr>
      </w:pPr>
      <w:r>
        <w:rPr>
          <w:rFonts w:hint="eastAsia" w:eastAsia="宋体"/>
        </w:rPr>
        <w:t>（</w:t>
      </w:r>
      <w:r>
        <w:rPr>
          <w:rFonts w:eastAsia="宋体"/>
        </w:rPr>
        <w:t>1</w:t>
      </w:r>
      <w:r>
        <w:rPr>
          <w:rFonts w:hint="eastAsia" w:eastAsia="宋体"/>
        </w:rPr>
        <w:t>）网络公开：本项目在</w:t>
      </w:r>
      <w:r>
        <w:rPr>
          <w:rFonts w:hint="eastAsia" w:eastAsia="宋体"/>
          <w:lang w:val="en-US" w:eastAsia="zh-CN"/>
        </w:rPr>
        <w:t>天津欣国环环保科技有限公司网站</w:t>
      </w:r>
      <w:r>
        <w:rPr>
          <w:rFonts w:hint="eastAsia" w:eastAsia="宋体"/>
        </w:rPr>
        <w:t>（http://www.tjxgh.cn/）进行网上信息公开并征询意见；</w:t>
      </w:r>
      <w:r>
        <w:rPr>
          <w:rFonts w:eastAsia="宋体"/>
        </w:rPr>
        <w:t xml:space="preserve"> </w:t>
      </w:r>
    </w:p>
    <w:p w14:paraId="106FF378">
      <w:pPr>
        <w:adjustRightInd/>
        <w:snapToGrid/>
        <w:ind w:firstLine="480"/>
        <w:rPr>
          <w:rFonts w:eastAsia="宋体"/>
        </w:rPr>
      </w:pPr>
      <w:r>
        <w:rPr>
          <w:rFonts w:hint="eastAsia" w:eastAsia="宋体"/>
        </w:rPr>
        <w:t>（</w:t>
      </w:r>
      <w:r>
        <w:rPr>
          <w:rFonts w:eastAsia="宋体"/>
        </w:rPr>
        <w:t>2</w:t>
      </w:r>
      <w:r>
        <w:rPr>
          <w:rFonts w:hint="eastAsia" w:eastAsia="宋体"/>
        </w:rPr>
        <w:t>）报纸公开：本项目在《中华工商时报》发布</w:t>
      </w:r>
      <w:r>
        <w:rPr>
          <w:rFonts w:eastAsia="宋体"/>
        </w:rPr>
        <w:t>2</w:t>
      </w:r>
      <w:r>
        <w:rPr>
          <w:rFonts w:hint="eastAsia" w:eastAsia="宋体"/>
        </w:rPr>
        <w:t>次环评公告并征询意见；</w:t>
      </w:r>
    </w:p>
    <w:p w14:paraId="3466977E">
      <w:pPr>
        <w:adjustRightInd/>
        <w:snapToGrid/>
        <w:ind w:firstLine="480"/>
        <w:rPr>
          <w:rFonts w:eastAsia="宋体"/>
        </w:rPr>
      </w:pPr>
      <w:r>
        <w:rPr>
          <w:rFonts w:hint="eastAsia" w:eastAsia="宋体"/>
        </w:rPr>
        <w:t>（3）张贴公告：本项目在建设项目所在地公众易于知悉的场所张贴公示，告知项目情况，征求公众意见。</w:t>
      </w:r>
    </w:p>
    <w:p w14:paraId="1D4D8B4D">
      <w:pPr>
        <w:adjustRightInd/>
        <w:snapToGrid/>
        <w:ind w:firstLine="480"/>
        <w:outlineLvl w:val="2"/>
        <w:rPr>
          <w:rFonts w:hint="eastAsia" w:eastAsia="宋体"/>
        </w:rPr>
      </w:pPr>
      <w:bookmarkStart w:id="31" w:name="_Toc3211"/>
      <w:r>
        <w:rPr>
          <w:rFonts w:eastAsia="宋体"/>
        </w:rPr>
        <w:t xml:space="preserve">1.4.4 </w:t>
      </w:r>
      <w:r>
        <w:rPr>
          <w:rFonts w:hint="eastAsia" w:eastAsia="宋体"/>
        </w:rPr>
        <w:t>公众参与的实施过程</w:t>
      </w:r>
      <w:bookmarkEnd w:id="31"/>
    </w:p>
    <w:p w14:paraId="5BB44B36">
      <w:pPr>
        <w:adjustRightInd/>
        <w:snapToGrid/>
        <w:ind w:firstLine="0" w:firstLineChars="0"/>
        <w:jc w:val="center"/>
        <w:rPr>
          <w:rFonts w:eastAsia="宋体"/>
        </w:rPr>
      </w:pPr>
      <w:r>
        <w:rPr>
          <w:rFonts w:hint="eastAsia" w:eastAsia="宋体"/>
        </w:rPr>
        <w:t>表1</w:t>
      </w:r>
      <w:r>
        <w:rPr>
          <w:rFonts w:eastAsia="宋体"/>
        </w:rPr>
        <w:t xml:space="preserve">.4-1  </w:t>
      </w:r>
      <w:r>
        <w:rPr>
          <w:rFonts w:hint="eastAsia" w:eastAsia="宋体"/>
        </w:rPr>
        <w:t>本项目环评公众参与具体实施过程汇总表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551"/>
        <w:gridCol w:w="2314"/>
        <w:gridCol w:w="2131"/>
      </w:tblGrid>
      <w:tr w14:paraId="2918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center"/>
          </w:tcPr>
          <w:p w14:paraId="4F4D9328">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default" w:eastAsia="宋体" w:cs="Times New Roman"/>
              </w:rPr>
              <w:t>实施主体</w:t>
            </w:r>
          </w:p>
        </w:tc>
        <w:tc>
          <w:tcPr>
            <w:tcW w:w="2551" w:type="dxa"/>
            <w:noWrap w:val="0"/>
            <w:vAlign w:val="center"/>
          </w:tcPr>
          <w:p w14:paraId="4D694BD7">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default" w:eastAsia="宋体" w:cs="Times New Roman"/>
              </w:rPr>
              <w:t>时间</w:t>
            </w:r>
          </w:p>
        </w:tc>
        <w:tc>
          <w:tcPr>
            <w:tcW w:w="2314" w:type="dxa"/>
            <w:noWrap w:val="0"/>
            <w:vAlign w:val="center"/>
          </w:tcPr>
          <w:p w14:paraId="4BE03F44">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default" w:eastAsia="宋体" w:cs="Times New Roman"/>
              </w:rPr>
              <w:t>工作内容</w:t>
            </w:r>
          </w:p>
        </w:tc>
        <w:tc>
          <w:tcPr>
            <w:tcW w:w="2131" w:type="dxa"/>
            <w:noWrap w:val="0"/>
            <w:vAlign w:val="center"/>
          </w:tcPr>
          <w:p w14:paraId="1D779E77">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default" w:eastAsia="宋体" w:cs="Times New Roman"/>
              </w:rPr>
              <w:t>载体</w:t>
            </w:r>
          </w:p>
        </w:tc>
      </w:tr>
      <w:tr w14:paraId="66B5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noWrap w:val="0"/>
            <w:vAlign w:val="center"/>
          </w:tcPr>
          <w:p w14:paraId="6C0C850E">
            <w:pPr>
              <w:pStyle w:val="3"/>
              <w:keepNext w:val="0"/>
              <w:keepLines w:val="0"/>
              <w:suppressLineNumbers w:val="0"/>
              <w:spacing w:before="0" w:beforeAutospacing="0" w:after="0" w:afterAutospacing="0" w:line="240" w:lineRule="auto"/>
              <w:ind w:left="0" w:right="0" w:firstLine="0" w:firstLineChars="0"/>
              <w:jc w:val="center"/>
              <w:rPr>
                <w:rFonts w:hint="eastAsia" w:eastAsia="宋体" w:cs="Times New Roman"/>
                <w:lang w:eastAsia="zh-CN"/>
              </w:rPr>
            </w:pPr>
            <w:r>
              <w:rPr>
                <w:rFonts w:hint="eastAsia" w:eastAsia="宋体" w:cs="Times New Roman"/>
                <w:lang w:eastAsia="zh-CN"/>
              </w:rPr>
              <w:t>茵梦达（天津）驱动技术有限公司</w:t>
            </w:r>
          </w:p>
        </w:tc>
        <w:tc>
          <w:tcPr>
            <w:tcW w:w="2551" w:type="dxa"/>
            <w:noWrap w:val="0"/>
            <w:vAlign w:val="center"/>
          </w:tcPr>
          <w:p w14:paraId="1CFB0822">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2</w:t>
            </w:r>
            <w:r>
              <w:rPr>
                <w:rFonts w:hint="default" w:eastAsia="宋体" w:cs="Times New Roman"/>
              </w:rPr>
              <w:t>02</w:t>
            </w:r>
            <w:r>
              <w:rPr>
                <w:rFonts w:hint="eastAsia" w:eastAsia="宋体" w:cs="Times New Roman"/>
                <w:lang w:val="en-US" w:eastAsia="zh-CN"/>
              </w:rPr>
              <w:t>4</w:t>
            </w:r>
            <w:r>
              <w:rPr>
                <w:rFonts w:hint="eastAsia" w:eastAsia="宋体" w:cs="Times New Roman"/>
              </w:rPr>
              <w:t>年1</w:t>
            </w:r>
            <w:r>
              <w:rPr>
                <w:rFonts w:hint="eastAsia" w:eastAsia="宋体" w:cs="Times New Roman"/>
                <w:lang w:val="en-US" w:eastAsia="zh-CN"/>
              </w:rPr>
              <w:t>2</w:t>
            </w:r>
            <w:r>
              <w:rPr>
                <w:rFonts w:hint="eastAsia" w:eastAsia="宋体" w:cs="Times New Roman"/>
              </w:rPr>
              <w:t>月</w:t>
            </w:r>
            <w:r>
              <w:rPr>
                <w:rFonts w:hint="eastAsia" w:eastAsia="宋体" w:cs="Times New Roman"/>
                <w:lang w:val="en-US" w:eastAsia="zh-CN"/>
              </w:rPr>
              <w:t>9</w:t>
            </w:r>
            <w:r>
              <w:rPr>
                <w:rFonts w:hint="eastAsia" w:eastAsia="宋体" w:cs="Times New Roman"/>
              </w:rPr>
              <w:t>日</w:t>
            </w:r>
          </w:p>
        </w:tc>
        <w:tc>
          <w:tcPr>
            <w:tcW w:w="2314" w:type="dxa"/>
            <w:noWrap w:val="0"/>
            <w:vAlign w:val="center"/>
          </w:tcPr>
          <w:p w14:paraId="2F56E5FD">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首次信息公开</w:t>
            </w:r>
          </w:p>
        </w:tc>
        <w:tc>
          <w:tcPr>
            <w:tcW w:w="2131" w:type="dxa"/>
            <w:noWrap w:val="0"/>
            <w:vAlign w:val="center"/>
          </w:tcPr>
          <w:p w14:paraId="6C3B879D">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default" w:eastAsia="宋体" w:cs="Times New Roman"/>
              </w:rPr>
              <w:t>网络平台</w:t>
            </w:r>
          </w:p>
          <w:p w14:paraId="7CC676B3">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default" w:eastAsia="宋体" w:cs="Times New Roman"/>
              </w:rPr>
              <w:t>（</w:t>
            </w:r>
            <w:r>
              <w:rPr>
                <w:rFonts w:hint="eastAsia" w:eastAsia="宋体"/>
                <w:lang w:val="en-US" w:eastAsia="zh-CN"/>
              </w:rPr>
              <w:t>天津欣国环环保科技有限公司网站</w:t>
            </w:r>
            <w:r>
              <w:rPr>
                <w:rFonts w:hint="default" w:eastAsia="宋体" w:cs="Times New Roman"/>
              </w:rPr>
              <w:t>）</w:t>
            </w:r>
          </w:p>
        </w:tc>
      </w:tr>
      <w:tr w14:paraId="7B2F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noWrap w:val="0"/>
            <w:vAlign w:val="center"/>
          </w:tcPr>
          <w:p w14:paraId="576B3E25">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p>
        </w:tc>
        <w:tc>
          <w:tcPr>
            <w:tcW w:w="2551" w:type="dxa"/>
            <w:noWrap w:val="0"/>
            <w:vAlign w:val="center"/>
          </w:tcPr>
          <w:p w14:paraId="3FC082AE">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2</w:t>
            </w:r>
            <w:r>
              <w:rPr>
                <w:rFonts w:hint="default" w:eastAsia="宋体" w:cs="Times New Roman"/>
              </w:rPr>
              <w:t>025</w:t>
            </w:r>
            <w:r>
              <w:rPr>
                <w:rFonts w:hint="eastAsia" w:eastAsia="宋体" w:cs="Times New Roman"/>
              </w:rPr>
              <w:t>年</w:t>
            </w:r>
            <w:r>
              <w:rPr>
                <w:rFonts w:hint="eastAsia" w:eastAsia="宋体" w:cs="Times New Roman"/>
                <w:lang w:val="en-US" w:eastAsia="zh-CN"/>
              </w:rPr>
              <w:t>9</w:t>
            </w:r>
            <w:r>
              <w:rPr>
                <w:rFonts w:hint="eastAsia" w:eastAsia="宋体" w:cs="Times New Roman"/>
              </w:rPr>
              <w:t>月</w:t>
            </w:r>
            <w:r>
              <w:rPr>
                <w:rFonts w:hint="eastAsia" w:eastAsia="宋体" w:cs="Times New Roman"/>
                <w:lang w:val="en-US" w:eastAsia="zh-CN"/>
              </w:rPr>
              <w:t>2</w:t>
            </w:r>
            <w:r>
              <w:rPr>
                <w:rFonts w:hint="eastAsia" w:eastAsia="宋体" w:cs="Times New Roman"/>
              </w:rPr>
              <w:t>8日~</w:t>
            </w:r>
            <w:r>
              <w:rPr>
                <w:rFonts w:hint="eastAsia" w:eastAsia="宋体" w:cs="Times New Roman"/>
                <w:lang w:val="en-US" w:eastAsia="zh-CN"/>
              </w:rPr>
              <w:t>10月15</w:t>
            </w:r>
            <w:r>
              <w:rPr>
                <w:rFonts w:hint="eastAsia" w:eastAsia="宋体" w:cs="Times New Roman"/>
              </w:rPr>
              <w:t>日</w:t>
            </w:r>
          </w:p>
        </w:tc>
        <w:tc>
          <w:tcPr>
            <w:tcW w:w="2314" w:type="dxa"/>
            <w:vMerge w:val="restart"/>
            <w:noWrap w:val="0"/>
            <w:vAlign w:val="center"/>
          </w:tcPr>
          <w:p w14:paraId="0B3D6106">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环境影响报告书征求意见稿信息公开</w:t>
            </w:r>
          </w:p>
        </w:tc>
        <w:tc>
          <w:tcPr>
            <w:tcW w:w="2131" w:type="dxa"/>
            <w:noWrap w:val="0"/>
            <w:vAlign w:val="center"/>
          </w:tcPr>
          <w:p w14:paraId="0BFCFBF6">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网络平台</w:t>
            </w:r>
          </w:p>
          <w:p w14:paraId="42022DAF">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w:t>
            </w:r>
            <w:r>
              <w:rPr>
                <w:rFonts w:hint="eastAsia" w:eastAsia="宋体"/>
                <w:lang w:val="en-US" w:eastAsia="zh-CN"/>
              </w:rPr>
              <w:t>天津欣国环环保科技有限公司网站</w:t>
            </w:r>
            <w:r>
              <w:rPr>
                <w:rFonts w:hint="eastAsia" w:eastAsia="宋体" w:cs="Times New Roman"/>
              </w:rPr>
              <w:t>）</w:t>
            </w:r>
          </w:p>
        </w:tc>
      </w:tr>
      <w:tr w14:paraId="5841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noWrap w:val="0"/>
            <w:vAlign w:val="center"/>
          </w:tcPr>
          <w:p w14:paraId="648AE1F0">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p>
        </w:tc>
        <w:tc>
          <w:tcPr>
            <w:tcW w:w="2551" w:type="dxa"/>
            <w:noWrap w:val="0"/>
            <w:vAlign w:val="center"/>
          </w:tcPr>
          <w:p w14:paraId="3E60AC70">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default" w:eastAsia="宋体" w:cs="Times New Roman"/>
              </w:rPr>
              <w:t>2025</w:t>
            </w:r>
            <w:r>
              <w:rPr>
                <w:rFonts w:hint="eastAsia" w:eastAsia="宋体" w:cs="Times New Roman"/>
              </w:rPr>
              <w:t>年</w:t>
            </w:r>
            <w:r>
              <w:rPr>
                <w:rFonts w:hint="eastAsia" w:eastAsia="宋体" w:cs="Times New Roman"/>
                <w:lang w:val="en-US" w:eastAsia="zh-CN"/>
              </w:rPr>
              <w:t>10</w:t>
            </w:r>
            <w:r>
              <w:rPr>
                <w:rFonts w:hint="eastAsia" w:eastAsia="宋体" w:cs="Times New Roman"/>
              </w:rPr>
              <w:t>月</w:t>
            </w:r>
            <w:r>
              <w:rPr>
                <w:rFonts w:hint="eastAsia" w:eastAsia="宋体" w:cs="Times New Roman"/>
                <w:lang w:val="en-US" w:eastAsia="zh-CN"/>
              </w:rPr>
              <w:t>14</w:t>
            </w:r>
            <w:r>
              <w:rPr>
                <w:rFonts w:hint="eastAsia" w:eastAsia="宋体" w:cs="Times New Roman"/>
              </w:rPr>
              <w:t>日</w:t>
            </w:r>
          </w:p>
        </w:tc>
        <w:tc>
          <w:tcPr>
            <w:tcW w:w="2314" w:type="dxa"/>
            <w:vMerge w:val="continue"/>
            <w:noWrap w:val="0"/>
            <w:vAlign w:val="center"/>
          </w:tcPr>
          <w:p w14:paraId="285F6A88">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p>
        </w:tc>
        <w:tc>
          <w:tcPr>
            <w:tcW w:w="2131" w:type="dxa"/>
            <w:noWrap w:val="0"/>
            <w:vAlign w:val="center"/>
          </w:tcPr>
          <w:p w14:paraId="56B20255">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《中华工商时报》第一次登报</w:t>
            </w:r>
          </w:p>
        </w:tc>
      </w:tr>
      <w:tr w14:paraId="745A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noWrap w:val="0"/>
            <w:vAlign w:val="center"/>
          </w:tcPr>
          <w:p w14:paraId="093DEF28">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p>
        </w:tc>
        <w:tc>
          <w:tcPr>
            <w:tcW w:w="2551" w:type="dxa"/>
            <w:noWrap w:val="0"/>
            <w:vAlign w:val="center"/>
          </w:tcPr>
          <w:p w14:paraId="73AE21C8">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2</w:t>
            </w:r>
            <w:r>
              <w:rPr>
                <w:rFonts w:hint="default" w:eastAsia="宋体" w:cs="Times New Roman"/>
              </w:rPr>
              <w:t>025</w:t>
            </w:r>
            <w:r>
              <w:rPr>
                <w:rFonts w:hint="eastAsia" w:eastAsia="宋体" w:cs="Times New Roman"/>
              </w:rPr>
              <w:t>年</w:t>
            </w:r>
            <w:r>
              <w:rPr>
                <w:rFonts w:hint="eastAsia" w:eastAsia="宋体" w:cs="Times New Roman"/>
                <w:lang w:val="en-US" w:eastAsia="zh-CN"/>
              </w:rPr>
              <w:t>10</w:t>
            </w:r>
            <w:r>
              <w:rPr>
                <w:rFonts w:hint="eastAsia" w:eastAsia="宋体" w:cs="Times New Roman"/>
              </w:rPr>
              <w:t>月1</w:t>
            </w:r>
            <w:r>
              <w:rPr>
                <w:rFonts w:hint="eastAsia" w:eastAsia="宋体" w:cs="Times New Roman"/>
                <w:lang w:val="en-US" w:eastAsia="zh-CN"/>
              </w:rPr>
              <w:t>5</w:t>
            </w:r>
            <w:r>
              <w:rPr>
                <w:rFonts w:hint="eastAsia" w:eastAsia="宋体" w:cs="Times New Roman"/>
              </w:rPr>
              <w:t>日</w:t>
            </w:r>
          </w:p>
        </w:tc>
        <w:tc>
          <w:tcPr>
            <w:tcW w:w="2314" w:type="dxa"/>
            <w:vMerge w:val="continue"/>
            <w:noWrap w:val="0"/>
            <w:vAlign w:val="center"/>
          </w:tcPr>
          <w:p w14:paraId="09A3E844">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p>
        </w:tc>
        <w:tc>
          <w:tcPr>
            <w:tcW w:w="2131" w:type="dxa"/>
            <w:noWrap w:val="0"/>
            <w:vAlign w:val="center"/>
          </w:tcPr>
          <w:p w14:paraId="4F03E709">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《中华工商时报》第二次登报</w:t>
            </w:r>
          </w:p>
        </w:tc>
      </w:tr>
      <w:tr w14:paraId="255A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noWrap w:val="0"/>
            <w:vAlign w:val="center"/>
          </w:tcPr>
          <w:p w14:paraId="004743F5">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p>
        </w:tc>
        <w:tc>
          <w:tcPr>
            <w:tcW w:w="2551" w:type="dxa"/>
            <w:noWrap w:val="0"/>
            <w:vAlign w:val="center"/>
          </w:tcPr>
          <w:p w14:paraId="21782287">
            <w:pPr>
              <w:pStyle w:val="3"/>
              <w:keepNext w:val="0"/>
              <w:keepLines w:val="0"/>
              <w:suppressLineNumbers w:val="0"/>
              <w:spacing w:before="0" w:beforeAutospacing="0" w:after="0" w:afterAutospacing="0" w:line="240" w:lineRule="auto"/>
              <w:ind w:left="0" w:right="0" w:firstLine="0" w:firstLineChars="0"/>
              <w:jc w:val="center"/>
              <w:rPr>
                <w:rFonts w:hint="eastAsia" w:eastAsia="宋体" w:cs="Times New Roman"/>
              </w:rPr>
            </w:pPr>
            <w:r>
              <w:rPr>
                <w:rFonts w:hint="eastAsia" w:eastAsia="宋体" w:cs="Times New Roman"/>
              </w:rPr>
              <w:t>2</w:t>
            </w:r>
            <w:r>
              <w:rPr>
                <w:rFonts w:hint="default" w:eastAsia="宋体" w:cs="Times New Roman"/>
              </w:rPr>
              <w:t>025</w:t>
            </w:r>
            <w:r>
              <w:rPr>
                <w:rFonts w:hint="eastAsia" w:eastAsia="宋体" w:cs="Times New Roman"/>
              </w:rPr>
              <w:t>年</w:t>
            </w:r>
            <w:r>
              <w:rPr>
                <w:rFonts w:hint="eastAsia" w:eastAsia="宋体" w:cs="Times New Roman"/>
                <w:lang w:val="en-US" w:eastAsia="zh-CN"/>
              </w:rPr>
              <w:t>9</w:t>
            </w:r>
            <w:r>
              <w:rPr>
                <w:rFonts w:hint="eastAsia" w:eastAsia="宋体" w:cs="Times New Roman"/>
              </w:rPr>
              <w:t>月</w:t>
            </w:r>
            <w:r>
              <w:rPr>
                <w:rFonts w:hint="eastAsia" w:eastAsia="宋体" w:cs="Times New Roman"/>
                <w:lang w:val="en-US" w:eastAsia="zh-CN"/>
              </w:rPr>
              <w:t>2</w:t>
            </w:r>
            <w:r>
              <w:rPr>
                <w:rFonts w:hint="eastAsia" w:eastAsia="宋体" w:cs="Times New Roman"/>
              </w:rPr>
              <w:t>8日~</w:t>
            </w:r>
            <w:r>
              <w:rPr>
                <w:rFonts w:hint="eastAsia" w:eastAsia="宋体" w:cs="Times New Roman"/>
                <w:lang w:val="en-US" w:eastAsia="zh-CN"/>
              </w:rPr>
              <w:t>10月15</w:t>
            </w:r>
            <w:r>
              <w:rPr>
                <w:rFonts w:hint="eastAsia" w:eastAsia="宋体" w:cs="Times New Roman"/>
              </w:rPr>
              <w:t>日</w:t>
            </w:r>
          </w:p>
        </w:tc>
        <w:tc>
          <w:tcPr>
            <w:tcW w:w="2314" w:type="dxa"/>
            <w:noWrap w:val="0"/>
            <w:vAlign w:val="center"/>
          </w:tcPr>
          <w:p w14:paraId="0F7C59A2">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在评价范围内建设项目所在地公众易于知悉的场所张贴公示</w:t>
            </w:r>
          </w:p>
        </w:tc>
        <w:tc>
          <w:tcPr>
            <w:tcW w:w="2131" w:type="dxa"/>
            <w:noWrap w:val="0"/>
            <w:vAlign w:val="center"/>
          </w:tcPr>
          <w:p w14:paraId="421156EF">
            <w:pPr>
              <w:pStyle w:val="3"/>
              <w:keepNext w:val="0"/>
              <w:keepLines w:val="0"/>
              <w:suppressLineNumbers w:val="0"/>
              <w:spacing w:before="0" w:beforeAutospacing="0" w:after="0" w:afterAutospacing="0" w:line="240" w:lineRule="auto"/>
              <w:ind w:left="0" w:right="0" w:firstLine="0" w:firstLineChars="0"/>
              <w:jc w:val="center"/>
              <w:rPr>
                <w:rFonts w:hint="eastAsia" w:eastAsia="宋体" w:cs="Times New Roman"/>
              </w:rPr>
            </w:pPr>
            <w:r>
              <w:rPr>
                <w:rFonts w:hint="eastAsia" w:eastAsia="宋体" w:cs="Times New Roman"/>
              </w:rPr>
              <w:t>现场张贴</w:t>
            </w:r>
          </w:p>
        </w:tc>
      </w:tr>
      <w:tr w14:paraId="51B8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noWrap w:val="0"/>
            <w:vAlign w:val="center"/>
          </w:tcPr>
          <w:p w14:paraId="0505E984">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p>
        </w:tc>
        <w:tc>
          <w:tcPr>
            <w:tcW w:w="2551" w:type="dxa"/>
            <w:noWrap w:val="0"/>
            <w:vAlign w:val="center"/>
          </w:tcPr>
          <w:p w14:paraId="450CC8F7">
            <w:pPr>
              <w:pStyle w:val="3"/>
              <w:keepNext w:val="0"/>
              <w:keepLines w:val="0"/>
              <w:suppressLineNumbers w:val="0"/>
              <w:spacing w:before="0" w:beforeAutospacing="0" w:after="0" w:afterAutospacing="0" w:line="240" w:lineRule="auto"/>
              <w:ind w:left="0" w:right="0" w:firstLine="0" w:firstLineChars="0"/>
              <w:jc w:val="center"/>
              <w:rPr>
                <w:rFonts w:hint="eastAsia" w:eastAsia="宋体" w:cs="Times New Roman"/>
              </w:rPr>
            </w:pPr>
            <w:r>
              <w:rPr>
                <w:rFonts w:hint="eastAsia" w:eastAsia="宋体" w:cs="Times New Roman"/>
              </w:rPr>
              <w:t>2</w:t>
            </w:r>
            <w:r>
              <w:rPr>
                <w:rFonts w:hint="default" w:eastAsia="宋体" w:cs="Times New Roman"/>
              </w:rPr>
              <w:t>025</w:t>
            </w:r>
            <w:r>
              <w:rPr>
                <w:rFonts w:hint="eastAsia" w:eastAsia="宋体" w:cs="Times New Roman"/>
              </w:rPr>
              <w:t>年</w:t>
            </w:r>
            <w:r>
              <w:rPr>
                <w:rFonts w:hint="eastAsia" w:eastAsia="宋体" w:cs="Times New Roman"/>
                <w:lang w:val="en-US" w:eastAsia="zh-CN"/>
              </w:rPr>
              <w:t>10</w:t>
            </w:r>
            <w:r>
              <w:rPr>
                <w:rFonts w:hint="eastAsia" w:eastAsia="宋体" w:cs="Times New Roman"/>
              </w:rPr>
              <w:t>月</w:t>
            </w:r>
            <w:r>
              <w:rPr>
                <w:rFonts w:hint="eastAsia" w:eastAsia="宋体" w:cs="Times New Roman"/>
                <w:lang w:val="en-US" w:eastAsia="zh-CN"/>
              </w:rPr>
              <w:t>16</w:t>
            </w:r>
            <w:r>
              <w:rPr>
                <w:rFonts w:hint="eastAsia" w:eastAsia="宋体" w:cs="Times New Roman"/>
              </w:rPr>
              <w:t>日</w:t>
            </w:r>
          </w:p>
        </w:tc>
        <w:tc>
          <w:tcPr>
            <w:tcW w:w="2314" w:type="dxa"/>
            <w:noWrap w:val="0"/>
            <w:vAlign w:val="center"/>
          </w:tcPr>
          <w:p w14:paraId="5A8ED457">
            <w:pPr>
              <w:pStyle w:val="3"/>
              <w:keepNext w:val="0"/>
              <w:keepLines w:val="0"/>
              <w:suppressLineNumbers w:val="0"/>
              <w:spacing w:before="0" w:beforeAutospacing="0" w:after="0" w:afterAutospacing="0" w:line="240" w:lineRule="auto"/>
              <w:ind w:left="0" w:right="0" w:firstLine="0" w:firstLineChars="0"/>
              <w:jc w:val="center"/>
              <w:rPr>
                <w:rFonts w:hint="eastAsia" w:eastAsia="宋体" w:cs="Times New Roman"/>
              </w:rPr>
            </w:pPr>
            <w:r>
              <w:rPr>
                <w:rFonts w:hint="eastAsia" w:eastAsia="宋体" w:cs="Times New Roman"/>
              </w:rPr>
              <w:t>报批前环境影响报告书及公众参与说明信息公开</w:t>
            </w:r>
          </w:p>
        </w:tc>
        <w:tc>
          <w:tcPr>
            <w:tcW w:w="2131" w:type="dxa"/>
            <w:noWrap w:val="0"/>
            <w:vAlign w:val="center"/>
          </w:tcPr>
          <w:p w14:paraId="7ACC2C30">
            <w:pPr>
              <w:pStyle w:val="3"/>
              <w:keepNext w:val="0"/>
              <w:keepLines w:val="0"/>
              <w:suppressLineNumbers w:val="0"/>
              <w:spacing w:before="0" w:beforeAutospacing="0" w:after="0" w:afterAutospacing="0" w:line="240" w:lineRule="auto"/>
              <w:ind w:left="0" w:right="0" w:firstLine="0" w:firstLineChars="0"/>
              <w:jc w:val="center"/>
              <w:rPr>
                <w:rFonts w:hint="default" w:eastAsia="宋体" w:cs="Times New Roman"/>
              </w:rPr>
            </w:pPr>
            <w:r>
              <w:rPr>
                <w:rFonts w:hint="eastAsia" w:eastAsia="宋体" w:cs="Times New Roman"/>
              </w:rPr>
              <w:t>网络平台</w:t>
            </w:r>
          </w:p>
          <w:p w14:paraId="567F8EE7">
            <w:pPr>
              <w:pStyle w:val="3"/>
              <w:keepNext w:val="0"/>
              <w:keepLines w:val="0"/>
              <w:suppressLineNumbers w:val="0"/>
              <w:spacing w:before="0" w:beforeAutospacing="0" w:after="0" w:afterAutospacing="0" w:line="240" w:lineRule="auto"/>
              <w:ind w:left="0" w:right="0" w:firstLine="0" w:firstLineChars="0"/>
              <w:jc w:val="center"/>
              <w:rPr>
                <w:rFonts w:hint="eastAsia" w:eastAsia="宋体" w:cs="Times New Roman"/>
              </w:rPr>
            </w:pPr>
            <w:r>
              <w:rPr>
                <w:rFonts w:hint="eastAsia" w:eastAsia="宋体" w:cs="Times New Roman"/>
              </w:rPr>
              <w:t>（</w:t>
            </w:r>
            <w:r>
              <w:rPr>
                <w:rFonts w:hint="eastAsia" w:eastAsia="宋体" w:cs="Times New Roman"/>
                <w:lang w:eastAsia="zh-CN"/>
              </w:rPr>
              <w:t>天津欣国环环保科技有限公司网站</w:t>
            </w:r>
            <w:r>
              <w:rPr>
                <w:rFonts w:hint="eastAsia" w:eastAsia="宋体" w:cs="Times New Roman"/>
              </w:rPr>
              <w:t>）</w:t>
            </w:r>
          </w:p>
        </w:tc>
      </w:tr>
    </w:tbl>
    <w:p w14:paraId="7E06E038">
      <w:pPr>
        <w:adjustRightInd/>
        <w:snapToGrid/>
        <w:ind w:firstLine="480"/>
        <w:rPr>
          <w:rFonts w:eastAsia="宋体"/>
        </w:rPr>
      </w:pPr>
    </w:p>
    <w:p w14:paraId="249AFC3F">
      <w:pPr>
        <w:pStyle w:val="2"/>
        <w:rPr>
          <w:rFonts w:eastAsia="宋体"/>
          <w:sz w:val="24"/>
          <w:szCs w:val="24"/>
        </w:rPr>
      </w:pPr>
      <w:bookmarkStart w:id="32" w:name="_Toc12016"/>
      <w:bookmarkStart w:id="33" w:name="_Toc8919"/>
      <w:r>
        <w:rPr>
          <w:rFonts w:eastAsia="宋体"/>
          <w:sz w:val="24"/>
          <w:szCs w:val="24"/>
        </w:rPr>
        <w:t>2首次环境影响评价信息公开情况</w:t>
      </w:r>
      <w:bookmarkEnd w:id="32"/>
      <w:bookmarkEnd w:id="33"/>
    </w:p>
    <w:p w14:paraId="7DC6901D">
      <w:pPr>
        <w:pStyle w:val="13"/>
        <w:widowControl/>
        <w:adjustRightInd/>
        <w:snapToGrid/>
        <w:spacing w:beforeAutospacing="0" w:afterAutospacing="0"/>
        <w:ind w:firstLine="0" w:firstLineChars="0"/>
        <w:outlineLvl w:val="1"/>
        <w:rPr>
          <w:rFonts w:eastAsia="宋体"/>
          <w:b/>
          <w:bCs/>
        </w:rPr>
      </w:pPr>
      <w:bookmarkStart w:id="34" w:name="_Toc11698"/>
      <w:bookmarkStart w:id="35" w:name="_Toc24244"/>
      <w:r>
        <w:rPr>
          <w:rFonts w:eastAsia="宋体"/>
          <w:b/>
          <w:bCs/>
        </w:rPr>
        <w:t>2.1公开内容及日期</w:t>
      </w:r>
      <w:bookmarkEnd w:id="34"/>
      <w:bookmarkEnd w:id="35"/>
    </w:p>
    <w:p w14:paraId="5F3EE454">
      <w:pPr>
        <w:adjustRightInd/>
        <w:snapToGrid/>
        <w:ind w:firstLine="480"/>
        <w:rPr>
          <w:rFonts w:eastAsia="宋体"/>
        </w:rPr>
      </w:pPr>
      <w:r>
        <w:rPr>
          <w:rFonts w:hint="eastAsia" w:eastAsia="宋体"/>
          <w:lang w:eastAsia="zh-CN"/>
        </w:rPr>
        <w:t>茵梦达（天津）驱动技术有限公司</w:t>
      </w:r>
      <w:r>
        <w:rPr>
          <w:rFonts w:eastAsia="宋体"/>
        </w:rPr>
        <w:t>在确定环境影响报告书编制单位为天津欣国环环保科技有限公司后的7个工作日内，</w:t>
      </w:r>
      <w:r>
        <w:rPr>
          <w:rFonts w:hint="eastAsia" w:eastAsia="宋体"/>
        </w:rPr>
        <w:t>于</w:t>
      </w:r>
      <w:r>
        <w:rPr>
          <w:rFonts w:eastAsia="宋体"/>
        </w:rPr>
        <w:t>202</w:t>
      </w:r>
      <w:r>
        <w:rPr>
          <w:rFonts w:hint="eastAsia" w:eastAsia="宋体"/>
          <w:lang w:val="en-US" w:eastAsia="zh-CN"/>
        </w:rPr>
        <w:t>4</w:t>
      </w:r>
      <w:r>
        <w:rPr>
          <w:rFonts w:eastAsia="宋体"/>
        </w:rPr>
        <w:t>年1</w:t>
      </w:r>
      <w:r>
        <w:rPr>
          <w:rFonts w:hint="eastAsia" w:eastAsia="宋体"/>
          <w:lang w:val="en-US" w:eastAsia="zh-CN"/>
        </w:rPr>
        <w:t>2</w:t>
      </w:r>
      <w:r>
        <w:rPr>
          <w:rFonts w:eastAsia="宋体"/>
        </w:rPr>
        <w:t>月</w:t>
      </w:r>
      <w:r>
        <w:rPr>
          <w:rFonts w:hint="eastAsia" w:eastAsia="宋体"/>
          <w:lang w:val="en-US" w:eastAsia="zh-CN"/>
        </w:rPr>
        <w:t>9</w:t>
      </w:r>
      <w:r>
        <w:rPr>
          <w:rFonts w:eastAsia="宋体"/>
        </w:rPr>
        <w:t>日，在</w:t>
      </w:r>
      <w:r>
        <w:rPr>
          <w:rFonts w:hint="eastAsia" w:eastAsia="宋体"/>
          <w:lang w:val="en-US" w:eastAsia="zh-CN"/>
        </w:rPr>
        <w:t>天津欣国环环保科技有限公司网站</w:t>
      </w:r>
      <w:r>
        <w:rPr>
          <w:rFonts w:hint="eastAsia" w:eastAsia="宋体"/>
        </w:rPr>
        <w:t>（http://www.tjxgh.cn</w:t>
      </w:r>
      <w:r>
        <w:rPr>
          <w:rFonts w:eastAsia="宋体"/>
        </w:rPr>
        <w:t>/</w:t>
      </w:r>
      <w:r>
        <w:rPr>
          <w:rFonts w:hint="eastAsia" w:eastAsia="宋体"/>
        </w:rPr>
        <w:t>）</w:t>
      </w:r>
      <w:r>
        <w:rPr>
          <w:rFonts w:eastAsia="宋体"/>
        </w:rPr>
        <w:t>上进行了公示。</w:t>
      </w:r>
      <w:bookmarkStart w:id="36" w:name="_Toc470793175"/>
      <w:r>
        <w:rPr>
          <w:rFonts w:hint="eastAsia" w:eastAsia="宋体"/>
        </w:rPr>
        <w:t>主要公示内容包括：</w:t>
      </w:r>
    </w:p>
    <w:p w14:paraId="6DAA82FB">
      <w:pPr>
        <w:adjustRightInd/>
        <w:snapToGrid/>
        <w:ind w:firstLine="480"/>
        <w:rPr>
          <w:rFonts w:eastAsia="宋体"/>
        </w:rPr>
      </w:pPr>
      <w:r>
        <w:rPr>
          <w:rFonts w:hint="eastAsia" w:eastAsia="宋体"/>
        </w:rPr>
        <w:t>（一）建设项目名称、选址、建设内容等基本情况，现有工程及其环境保护情况；</w:t>
      </w:r>
      <w:r>
        <w:rPr>
          <w:rFonts w:eastAsia="宋体"/>
        </w:rPr>
        <w:t xml:space="preserve"> </w:t>
      </w:r>
    </w:p>
    <w:p w14:paraId="4DCAC3EA">
      <w:pPr>
        <w:adjustRightInd/>
        <w:snapToGrid/>
        <w:ind w:firstLine="480"/>
        <w:rPr>
          <w:rFonts w:eastAsia="宋体"/>
        </w:rPr>
      </w:pPr>
      <w:r>
        <w:rPr>
          <w:rFonts w:hint="eastAsia" w:eastAsia="宋体"/>
        </w:rPr>
        <w:t>（二）建设单位名称和联系方式；</w:t>
      </w:r>
      <w:r>
        <w:rPr>
          <w:rFonts w:eastAsia="宋体"/>
        </w:rPr>
        <w:t xml:space="preserve"> </w:t>
      </w:r>
    </w:p>
    <w:p w14:paraId="2558BF23">
      <w:pPr>
        <w:adjustRightInd/>
        <w:snapToGrid/>
        <w:ind w:firstLine="480"/>
        <w:rPr>
          <w:rFonts w:eastAsia="宋体"/>
        </w:rPr>
      </w:pPr>
      <w:r>
        <w:rPr>
          <w:rFonts w:hint="eastAsia" w:eastAsia="宋体"/>
        </w:rPr>
        <w:t>（三）环境影响报告书编制单位名称；</w:t>
      </w:r>
      <w:r>
        <w:rPr>
          <w:rFonts w:eastAsia="宋体"/>
        </w:rPr>
        <w:t xml:space="preserve"> </w:t>
      </w:r>
    </w:p>
    <w:p w14:paraId="55454016">
      <w:pPr>
        <w:adjustRightInd/>
        <w:snapToGrid/>
        <w:ind w:firstLine="480"/>
        <w:rPr>
          <w:rFonts w:eastAsia="宋体"/>
        </w:rPr>
      </w:pPr>
      <w:r>
        <w:rPr>
          <w:rFonts w:hint="eastAsia" w:eastAsia="宋体"/>
        </w:rPr>
        <w:t>（四）公众意见表的网络链接；</w:t>
      </w:r>
      <w:r>
        <w:rPr>
          <w:rFonts w:eastAsia="宋体"/>
        </w:rPr>
        <w:t xml:space="preserve"> </w:t>
      </w:r>
    </w:p>
    <w:p w14:paraId="5AA56E9C">
      <w:pPr>
        <w:adjustRightInd/>
        <w:snapToGrid/>
        <w:ind w:firstLine="480"/>
        <w:rPr>
          <w:rFonts w:eastAsia="宋体"/>
        </w:rPr>
      </w:pPr>
      <w:r>
        <w:rPr>
          <w:rFonts w:hint="eastAsia" w:eastAsia="宋体"/>
        </w:rPr>
        <w:t>（五）提交公众意见表的方式和途径。</w:t>
      </w:r>
    </w:p>
    <w:p w14:paraId="592DE367">
      <w:pPr>
        <w:adjustRightInd/>
        <w:snapToGrid/>
        <w:ind w:firstLine="480"/>
        <w:rPr>
          <w:rFonts w:eastAsia="宋体"/>
        </w:rPr>
      </w:pPr>
      <w:r>
        <w:rPr>
          <w:rFonts w:hint="eastAsia" w:eastAsia="宋体"/>
        </w:rPr>
        <w:t>本项目于</w:t>
      </w:r>
      <w:r>
        <w:rPr>
          <w:rFonts w:eastAsia="宋体"/>
        </w:rPr>
        <w:t>202</w:t>
      </w:r>
      <w:r>
        <w:rPr>
          <w:rFonts w:hint="eastAsia" w:eastAsia="宋体"/>
          <w:lang w:val="en-US" w:eastAsia="zh-CN"/>
        </w:rPr>
        <w:t>4</w:t>
      </w:r>
      <w:r>
        <w:rPr>
          <w:rFonts w:hint="eastAsia" w:eastAsia="宋体"/>
        </w:rPr>
        <w:t>年</w:t>
      </w:r>
      <w:r>
        <w:rPr>
          <w:rFonts w:eastAsia="宋体"/>
        </w:rPr>
        <w:t>1</w:t>
      </w:r>
      <w:r>
        <w:rPr>
          <w:rFonts w:hint="eastAsia" w:eastAsia="宋体"/>
          <w:lang w:val="en-US" w:eastAsia="zh-CN"/>
        </w:rPr>
        <w:t>2</w:t>
      </w:r>
      <w:r>
        <w:rPr>
          <w:rFonts w:hint="eastAsia" w:eastAsia="宋体"/>
        </w:rPr>
        <w:t>月</w:t>
      </w:r>
      <w:r>
        <w:rPr>
          <w:rFonts w:hint="eastAsia" w:eastAsia="宋体"/>
          <w:lang w:val="en-US" w:eastAsia="zh-CN"/>
        </w:rPr>
        <w:t>5</w:t>
      </w:r>
      <w:r>
        <w:rPr>
          <w:rFonts w:hint="eastAsia" w:eastAsia="宋体"/>
        </w:rPr>
        <w:t>日确定环境影响报告书编制单位，首次公开日期（</w:t>
      </w:r>
      <w:r>
        <w:rPr>
          <w:rFonts w:eastAsia="宋体"/>
        </w:rPr>
        <w:t>202</w:t>
      </w:r>
      <w:r>
        <w:rPr>
          <w:rFonts w:hint="eastAsia" w:eastAsia="宋体"/>
          <w:lang w:val="en-US" w:eastAsia="zh-CN"/>
        </w:rPr>
        <w:t>4</w:t>
      </w:r>
      <w:r>
        <w:rPr>
          <w:rFonts w:hint="eastAsia" w:eastAsia="宋体"/>
        </w:rPr>
        <w:t>年</w:t>
      </w:r>
      <w:r>
        <w:rPr>
          <w:rFonts w:eastAsia="宋体"/>
        </w:rPr>
        <w:t>1</w:t>
      </w:r>
      <w:r>
        <w:rPr>
          <w:rFonts w:hint="eastAsia" w:eastAsia="宋体"/>
          <w:lang w:val="en-US" w:eastAsia="zh-CN"/>
        </w:rPr>
        <w:t>2</w:t>
      </w:r>
      <w:r>
        <w:rPr>
          <w:rFonts w:hint="eastAsia" w:eastAsia="宋体"/>
        </w:rPr>
        <w:t>月</w:t>
      </w:r>
      <w:r>
        <w:rPr>
          <w:rFonts w:hint="eastAsia" w:eastAsia="宋体"/>
          <w:lang w:val="en-US" w:eastAsia="zh-CN"/>
        </w:rPr>
        <w:t>9</w:t>
      </w:r>
      <w:r>
        <w:rPr>
          <w:rFonts w:hint="eastAsia" w:eastAsia="宋体"/>
        </w:rPr>
        <w:t>日）为确定环境影响报告书编制单位后</w:t>
      </w:r>
      <w:r>
        <w:rPr>
          <w:rFonts w:eastAsia="宋体"/>
        </w:rPr>
        <w:t>7</w:t>
      </w:r>
      <w:r>
        <w:rPr>
          <w:rFonts w:hint="eastAsia" w:eastAsia="宋体"/>
        </w:rPr>
        <w:t>个工作日以内，公开时间</w:t>
      </w:r>
      <w:r>
        <w:rPr>
          <w:rFonts w:hint="eastAsia" w:eastAsia="宋体"/>
          <w:lang w:val="en-US" w:eastAsia="zh-CN"/>
        </w:rPr>
        <w:t>自</w:t>
      </w:r>
      <w:r>
        <w:rPr>
          <w:rFonts w:eastAsia="宋体"/>
        </w:rPr>
        <w:t>202</w:t>
      </w:r>
      <w:r>
        <w:rPr>
          <w:rFonts w:hint="eastAsia" w:eastAsia="宋体"/>
          <w:lang w:val="en-US" w:eastAsia="zh-CN"/>
        </w:rPr>
        <w:t>4</w:t>
      </w:r>
      <w:r>
        <w:rPr>
          <w:rFonts w:hint="eastAsia" w:eastAsia="宋体"/>
        </w:rPr>
        <w:t>年</w:t>
      </w:r>
      <w:r>
        <w:rPr>
          <w:rFonts w:eastAsia="宋体"/>
        </w:rPr>
        <w:t>1</w:t>
      </w:r>
      <w:r>
        <w:rPr>
          <w:rFonts w:hint="eastAsia" w:eastAsia="宋体"/>
          <w:lang w:val="en-US" w:eastAsia="zh-CN"/>
        </w:rPr>
        <w:t>2</w:t>
      </w:r>
      <w:r>
        <w:rPr>
          <w:rFonts w:hint="eastAsia" w:eastAsia="宋体"/>
        </w:rPr>
        <w:t>月</w:t>
      </w:r>
      <w:r>
        <w:rPr>
          <w:rFonts w:hint="eastAsia" w:eastAsia="宋体"/>
          <w:lang w:val="en-US" w:eastAsia="zh-CN"/>
        </w:rPr>
        <w:t>9</w:t>
      </w:r>
      <w:r>
        <w:rPr>
          <w:rFonts w:hint="eastAsia" w:eastAsia="宋体"/>
        </w:rPr>
        <w:t>日</w:t>
      </w:r>
      <w:r>
        <w:rPr>
          <w:rFonts w:hint="eastAsia" w:eastAsia="宋体"/>
          <w:lang w:val="en-US" w:eastAsia="zh-CN"/>
        </w:rPr>
        <w:t>至2024年12月20日，不少于10个工作日</w:t>
      </w:r>
      <w:r>
        <w:rPr>
          <w:rFonts w:hint="eastAsia" w:eastAsia="宋体"/>
        </w:rPr>
        <w:t>。因此本项目首次环境影响评价信息公开时间及公开内容满足《环境影响评价公众参与办法》</w:t>
      </w:r>
      <w:r>
        <w:rPr>
          <w:rFonts w:eastAsia="宋体"/>
        </w:rPr>
        <w:t>(</w:t>
      </w:r>
      <w:r>
        <w:rPr>
          <w:rFonts w:hint="eastAsia" w:eastAsia="宋体"/>
        </w:rPr>
        <w:t>生态环境部令第</w:t>
      </w:r>
      <w:r>
        <w:rPr>
          <w:rFonts w:eastAsia="宋体"/>
        </w:rPr>
        <w:t>4</w:t>
      </w:r>
      <w:r>
        <w:rPr>
          <w:rFonts w:hint="eastAsia" w:eastAsia="宋体"/>
        </w:rPr>
        <w:t>号</w:t>
      </w:r>
      <w:r>
        <w:rPr>
          <w:rFonts w:eastAsia="宋体"/>
        </w:rPr>
        <w:t>)</w:t>
      </w:r>
      <w:r>
        <w:rPr>
          <w:rFonts w:hint="eastAsia" w:eastAsia="宋体"/>
        </w:rPr>
        <w:t>相关规定要求。</w:t>
      </w:r>
    </w:p>
    <w:p w14:paraId="2FC6B508">
      <w:pPr>
        <w:pStyle w:val="13"/>
        <w:widowControl/>
        <w:adjustRightInd/>
        <w:snapToGrid/>
        <w:spacing w:before="0" w:beforeAutospacing="0" w:after="0" w:afterAutospacing="0"/>
        <w:ind w:firstLine="0" w:firstLineChars="0"/>
        <w:outlineLvl w:val="1"/>
        <w:rPr>
          <w:rFonts w:eastAsia="宋体"/>
          <w:b/>
          <w:bCs/>
        </w:rPr>
      </w:pPr>
      <w:bookmarkStart w:id="37" w:name="_Toc2987"/>
      <w:bookmarkStart w:id="38" w:name="_Toc3074"/>
      <w:r>
        <w:rPr>
          <w:rFonts w:eastAsia="宋体"/>
          <w:b/>
          <w:bCs/>
        </w:rPr>
        <w:t>2.2公开方式</w:t>
      </w:r>
      <w:bookmarkEnd w:id="37"/>
      <w:bookmarkEnd w:id="38"/>
    </w:p>
    <w:p w14:paraId="1F3B6355">
      <w:pPr>
        <w:adjustRightInd/>
        <w:snapToGrid/>
        <w:ind w:firstLine="480"/>
        <w:outlineLvl w:val="2"/>
        <w:rPr>
          <w:rFonts w:eastAsia="宋体"/>
        </w:rPr>
      </w:pPr>
      <w:bookmarkStart w:id="39" w:name="_Toc2549"/>
      <w:r>
        <w:rPr>
          <w:rFonts w:eastAsia="宋体"/>
        </w:rPr>
        <w:t>2.2.1</w:t>
      </w:r>
      <w:r>
        <w:rPr>
          <w:rFonts w:hint="eastAsia" w:eastAsia="宋体"/>
        </w:rPr>
        <w:t>网络</w:t>
      </w:r>
      <w:bookmarkEnd w:id="39"/>
    </w:p>
    <w:p w14:paraId="55814E50">
      <w:pPr>
        <w:pStyle w:val="13"/>
        <w:widowControl/>
        <w:adjustRightInd/>
        <w:snapToGrid/>
        <w:spacing w:before="0" w:beforeAutospacing="0" w:after="0" w:afterAutospacing="0"/>
        <w:ind w:firstLine="480"/>
        <w:rPr>
          <w:rFonts w:hint="eastAsia" w:eastAsia="宋体"/>
        </w:rPr>
      </w:pPr>
      <w:r>
        <w:rPr>
          <w:rFonts w:eastAsia="宋体"/>
        </w:rPr>
        <w:t>2025年</w:t>
      </w:r>
      <w:r>
        <w:rPr>
          <w:rFonts w:hint="eastAsia" w:eastAsia="宋体"/>
          <w:lang w:val="en-US" w:eastAsia="zh-CN"/>
        </w:rPr>
        <w:t>9</w:t>
      </w:r>
      <w:r>
        <w:rPr>
          <w:rFonts w:eastAsia="宋体"/>
        </w:rPr>
        <w:t>月</w:t>
      </w:r>
      <w:r>
        <w:rPr>
          <w:rFonts w:hint="eastAsia" w:eastAsia="宋体"/>
          <w:lang w:val="en-US" w:eastAsia="zh-CN"/>
        </w:rPr>
        <w:t>28</w:t>
      </w:r>
      <w:r>
        <w:rPr>
          <w:rFonts w:eastAsia="宋体"/>
        </w:rPr>
        <w:t>日，在</w:t>
      </w:r>
      <w:r>
        <w:rPr>
          <w:rFonts w:hint="eastAsia" w:eastAsia="宋体"/>
          <w:lang w:val="en-US" w:eastAsia="zh-CN"/>
        </w:rPr>
        <w:t>天津欣国环环保科技有限公司网站</w:t>
      </w:r>
      <w:r>
        <w:rPr>
          <w:rFonts w:eastAsia="宋体"/>
        </w:rPr>
        <w:t>上进行了</w:t>
      </w:r>
      <w:r>
        <w:rPr>
          <w:rFonts w:hint="eastAsia" w:eastAsia="宋体"/>
        </w:rPr>
        <w:t>首次环境影响评价相关信息公开。</w:t>
      </w:r>
    </w:p>
    <w:p w14:paraId="7CE59FBE">
      <w:pPr>
        <w:spacing w:before="178" w:beforeLines="0" w:afterLines="0" w:line="391" w:lineRule="auto"/>
        <w:ind w:firstLine="480"/>
        <w:jc w:val="left"/>
        <w:rPr>
          <w:rFonts w:hint="default" w:eastAsia="宋体"/>
          <w:sz w:val="24"/>
          <w:szCs w:val="24"/>
          <w:lang w:val="en-US" w:eastAsia="zh-CN"/>
        </w:rPr>
      </w:pPr>
      <w:r>
        <w:rPr>
          <w:rFonts w:hint="eastAsia" w:eastAsia="宋体"/>
          <w:lang w:val="en-US" w:eastAsia="zh-CN"/>
        </w:rPr>
        <w:t>天津欣国环环保科技有限公司网站</w:t>
      </w:r>
      <w:r>
        <w:rPr>
          <w:rFonts w:hint="eastAsia" w:ascii="ËÎÌå" w:hAnsi="ËÎÌå" w:eastAsia="ËÎÌå"/>
          <w:color w:val="000000"/>
          <w:sz w:val="24"/>
          <w:szCs w:val="24"/>
        </w:rPr>
        <w:t>是天津地区重要的企业官方网站，具有较大的影响力</w:t>
      </w:r>
      <w:r>
        <w:rPr>
          <w:rFonts w:hint="eastAsia" w:ascii="ËÎÌå" w:hAnsi="ËÎÌå" w:eastAsia="宋体"/>
          <w:color w:val="000000"/>
          <w:sz w:val="24"/>
          <w:szCs w:val="24"/>
          <w:lang w:eastAsia="zh-CN"/>
        </w:rPr>
        <w:t>，</w:t>
      </w:r>
      <w:r>
        <w:rPr>
          <w:rFonts w:hint="eastAsia" w:ascii="ËÎÌå" w:hAnsi="ËÎÌå" w:eastAsia="宋体"/>
          <w:color w:val="000000"/>
          <w:sz w:val="24"/>
          <w:szCs w:val="24"/>
          <w:lang w:val="en-US" w:eastAsia="zh-CN"/>
        </w:rPr>
        <w:t>符合载体选取要求。</w:t>
      </w:r>
    </w:p>
    <w:p w14:paraId="1D003D24">
      <w:pPr>
        <w:pStyle w:val="13"/>
        <w:widowControl/>
        <w:adjustRightInd/>
        <w:snapToGrid/>
        <w:spacing w:before="0" w:beforeAutospacing="0" w:after="0" w:afterAutospacing="0"/>
        <w:ind w:firstLine="480"/>
        <w:rPr>
          <w:rFonts w:eastAsia="宋体"/>
        </w:rPr>
      </w:pPr>
      <w:r>
        <w:rPr>
          <w:rFonts w:hint="eastAsia" w:eastAsia="宋体"/>
        </w:rPr>
        <w:t>信息公开</w:t>
      </w:r>
      <w:r>
        <w:rPr>
          <w:rFonts w:eastAsia="宋体"/>
        </w:rPr>
        <w:t>网址</w:t>
      </w:r>
      <w:r>
        <w:rPr>
          <w:rFonts w:hint="eastAsia" w:eastAsia="宋体"/>
        </w:rPr>
        <w:t>如下</w:t>
      </w:r>
      <w:r>
        <w:rPr>
          <w:rFonts w:eastAsia="宋体"/>
        </w:rPr>
        <w:t>：</w:t>
      </w:r>
    </w:p>
    <w:p w14:paraId="61BAC479">
      <w:pPr>
        <w:pStyle w:val="13"/>
        <w:widowControl/>
        <w:adjustRightInd/>
        <w:snapToGrid/>
        <w:spacing w:before="0" w:beforeAutospacing="0" w:after="0" w:afterAutospacing="0"/>
        <w:ind w:firstLine="480"/>
        <w:rPr>
          <w:rFonts w:eastAsia="宋体"/>
        </w:rPr>
      </w:pPr>
      <w:r>
        <w:rPr>
          <w:rFonts w:hint="eastAsia" w:eastAsia="宋体"/>
        </w:rPr>
        <w:t>http://www.tjxgh.cn/index.php/arc/show/id/798.html</w:t>
      </w:r>
      <w:r>
        <w:rPr>
          <w:rFonts w:eastAsia="宋体"/>
        </w:rPr>
        <w:t>；</w:t>
      </w:r>
    </w:p>
    <w:p w14:paraId="5168A0A7">
      <w:pPr>
        <w:pStyle w:val="13"/>
        <w:widowControl/>
        <w:adjustRightInd/>
        <w:snapToGrid/>
        <w:spacing w:before="0" w:beforeAutospacing="0" w:after="0" w:afterAutospacing="0"/>
        <w:ind w:firstLine="480"/>
        <w:rPr>
          <w:rFonts w:eastAsia="宋体"/>
        </w:rPr>
        <w:sectPr>
          <w:footerReference r:id="rId14" w:type="default"/>
          <w:pgSz w:w="11906" w:h="16838"/>
          <w:pgMar w:top="1440" w:right="1800" w:bottom="1440" w:left="1800" w:header="851" w:footer="992" w:gutter="0"/>
          <w:pgNumType w:start="1"/>
          <w:cols w:space="720" w:num="1"/>
          <w:docGrid w:type="lines" w:linePitch="312" w:charSpace="0"/>
        </w:sectPr>
      </w:pPr>
      <w:r>
        <w:rPr>
          <w:rFonts w:hint="eastAsia" w:eastAsia="宋体"/>
        </w:rPr>
        <w:t>信息公开</w:t>
      </w:r>
      <w:r>
        <w:rPr>
          <w:rFonts w:eastAsia="宋体"/>
        </w:rPr>
        <w:t>网站截图如下。</w:t>
      </w:r>
    </w:p>
    <w:p w14:paraId="11389FE8">
      <w:pPr>
        <w:pStyle w:val="13"/>
        <w:widowControl/>
        <w:adjustRightInd/>
        <w:snapToGrid/>
        <w:spacing w:beforeAutospacing="0" w:afterAutospacing="0"/>
        <w:ind w:firstLine="0" w:firstLineChars="0"/>
        <w:jc w:val="center"/>
        <w:sectPr>
          <w:pgSz w:w="16838" w:h="11906" w:orient="landscape"/>
          <w:pgMar w:top="1800" w:right="1440" w:bottom="1800" w:left="1440" w:header="851" w:footer="992" w:gutter="0"/>
          <w:cols w:space="720" w:num="1"/>
          <w:docGrid w:type="lines" w:linePitch="326" w:charSpace="0"/>
        </w:sectPr>
      </w:pPr>
      <w:r>
        <w:drawing>
          <wp:inline distT="0" distB="0" distL="114300" distR="114300">
            <wp:extent cx="7868920" cy="5019675"/>
            <wp:effectExtent l="0" t="0" r="1778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6"/>
                    <a:stretch>
                      <a:fillRect/>
                    </a:stretch>
                  </pic:blipFill>
                  <pic:spPr>
                    <a:xfrm>
                      <a:off x="0" y="0"/>
                      <a:ext cx="7868920" cy="5019675"/>
                    </a:xfrm>
                    <a:prstGeom prst="rect">
                      <a:avLst/>
                    </a:prstGeom>
                    <a:noFill/>
                    <a:ln>
                      <a:noFill/>
                    </a:ln>
                  </pic:spPr>
                </pic:pic>
              </a:graphicData>
            </a:graphic>
          </wp:inline>
        </w:drawing>
      </w:r>
    </w:p>
    <w:p w14:paraId="40019910">
      <w:pPr>
        <w:adjustRightInd/>
        <w:snapToGrid/>
        <w:ind w:firstLine="480"/>
        <w:outlineLvl w:val="2"/>
        <w:rPr>
          <w:rFonts w:eastAsia="宋体"/>
        </w:rPr>
      </w:pPr>
      <w:bookmarkStart w:id="40" w:name="_Toc2929"/>
      <w:r>
        <w:rPr>
          <w:rFonts w:eastAsia="宋体"/>
        </w:rPr>
        <w:t>2.2.2</w:t>
      </w:r>
      <w:r>
        <w:rPr>
          <w:rFonts w:hint="eastAsia" w:eastAsia="宋体"/>
        </w:rPr>
        <w:t>其他</w:t>
      </w:r>
      <w:bookmarkEnd w:id="40"/>
    </w:p>
    <w:p w14:paraId="6257E0B9">
      <w:pPr>
        <w:pStyle w:val="13"/>
        <w:widowControl/>
        <w:adjustRightInd/>
        <w:snapToGrid/>
        <w:spacing w:before="0" w:beforeAutospacing="0" w:after="0" w:afterAutospacing="0"/>
        <w:ind w:firstLine="480"/>
        <w:jc w:val="both"/>
        <w:rPr>
          <w:rFonts w:eastAsia="宋体"/>
        </w:rPr>
      </w:pPr>
      <w:r>
        <w:rPr>
          <w:rFonts w:hint="eastAsia" w:eastAsia="宋体"/>
        </w:rPr>
        <w:t>首次</w:t>
      </w:r>
      <w:r>
        <w:rPr>
          <w:rFonts w:eastAsia="宋体"/>
        </w:rPr>
        <w:t>环境影响评价</w:t>
      </w:r>
      <w:r>
        <w:rPr>
          <w:rFonts w:hint="eastAsia" w:eastAsia="宋体"/>
        </w:rPr>
        <w:t>信息公开未采用其他方式。</w:t>
      </w:r>
    </w:p>
    <w:p w14:paraId="4BFA2BDC">
      <w:pPr>
        <w:pStyle w:val="13"/>
        <w:widowControl/>
        <w:adjustRightInd/>
        <w:snapToGrid/>
        <w:spacing w:before="0" w:beforeAutospacing="0" w:after="0" w:afterAutospacing="0"/>
        <w:ind w:firstLine="0" w:firstLineChars="0"/>
        <w:outlineLvl w:val="1"/>
        <w:rPr>
          <w:rFonts w:eastAsia="宋体"/>
          <w:b/>
          <w:bCs/>
        </w:rPr>
      </w:pPr>
      <w:bookmarkStart w:id="41" w:name="_Toc11824"/>
      <w:bookmarkStart w:id="42" w:name="_Toc32467"/>
      <w:r>
        <w:rPr>
          <w:rFonts w:eastAsia="宋体"/>
          <w:b/>
          <w:bCs/>
        </w:rPr>
        <w:t>2.3公众意见情况</w:t>
      </w:r>
      <w:bookmarkEnd w:id="41"/>
      <w:bookmarkEnd w:id="42"/>
    </w:p>
    <w:p w14:paraId="72F52C34">
      <w:pPr>
        <w:pStyle w:val="13"/>
        <w:widowControl/>
        <w:adjustRightInd/>
        <w:snapToGrid/>
        <w:spacing w:before="0" w:beforeAutospacing="0" w:after="0" w:afterAutospacing="0"/>
        <w:ind w:firstLine="480"/>
        <w:jc w:val="both"/>
        <w:rPr>
          <w:rFonts w:eastAsia="宋体"/>
        </w:rPr>
      </w:pPr>
      <w:r>
        <w:rPr>
          <w:rFonts w:hint="eastAsia" w:eastAsia="宋体"/>
        </w:rPr>
        <w:t>首次</w:t>
      </w:r>
      <w:r>
        <w:rPr>
          <w:rFonts w:eastAsia="宋体"/>
        </w:rPr>
        <w:t>环境影响评价</w:t>
      </w:r>
      <w:r>
        <w:rPr>
          <w:rFonts w:hint="eastAsia" w:eastAsia="宋体"/>
        </w:rPr>
        <w:t>信息公开期间未收到任何与本项目相关的反馈意见</w:t>
      </w:r>
      <w:r>
        <w:rPr>
          <w:rFonts w:eastAsia="宋体"/>
        </w:rPr>
        <w:t>。</w:t>
      </w:r>
    </w:p>
    <w:p w14:paraId="76F7444B">
      <w:pPr>
        <w:pStyle w:val="2"/>
        <w:rPr>
          <w:rFonts w:eastAsia="宋体"/>
          <w:sz w:val="24"/>
          <w:szCs w:val="24"/>
        </w:rPr>
      </w:pPr>
      <w:bookmarkStart w:id="43" w:name="_Toc9240"/>
      <w:bookmarkStart w:id="44" w:name="_Toc17614"/>
      <w:r>
        <w:rPr>
          <w:rFonts w:eastAsia="宋体"/>
          <w:sz w:val="24"/>
          <w:szCs w:val="24"/>
        </w:rPr>
        <w:t>3征求意见稿</w:t>
      </w:r>
      <w:r>
        <w:rPr>
          <w:rFonts w:hint="eastAsia" w:eastAsia="宋体"/>
          <w:sz w:val="24"/>
          <w:szCs w:val="24"/>
        </w:rPr>
        <w:t>公示</w:t>
      </w:r>
      <w:r>
        <w:rPr>
          <w:rFonts w:eastAsia="宋体"/>
          <w:sz w:val="24"/>
          <w:szCs w:val="24"/>
        </w:rPr>
        <w:t>情况</w:t>
      </w:r>
      <w:bookmarkEnd w:id="43"/>
      <w:bookmarkEnd w:id="44"/>
    </w:p>
    <w:p w14:paraId="5D6918B2">
      <w:pPr>
        <w:pStyle w:val="13"/>
        <w:widowControl/>
        <w:adjustRightInd/>
        <w:snapToGrid/>
        <w:spacing w:before="0" w:beforeAutospacing="0" w:after="0" w:afterAutospacing="0"/>
        <w:ind w:firstLine="0" w:firstLineChars="0"/>
        <w:outlineLvl w:val="1"/>
        <w:rPr>
          <w:rFonts w:eastAsia="宋体"/>
          <w:b/>
          <w:bCs/>
        </w:rPr>
      </w:pPr>
      <w:bookmarkStart w:id="45" w:name="_Toc1598"/>
      <w:bookmarkStart w:id="46" w:name="_Toc26392"/>
      <w:r>
        <w:rPr>
          <w:rFonts w:eastAsia="宋体"/>
          <w:b/>
          <w:bCs/>
        </w:rPr>
        <w:t>3.1</w:t>
      </w:r>
      <w:r>
        <w:rPr>
          <w:rFonts w:hint="eastAsia" w:eastAsia="宋体"/>
          <w:b/>
          <w:bCs/>
        </w:rPr>
        <w:t>公示</w:t>
      </w:r>
      <w:r>
        <w:rPr>
          <w:rFonts w:eastAsia="宋体"/>
          <w:b/>
          <w:bCs/>
        </w:rPr>
        <w:t>内容及时限</w:t>
      </w:r>
      <w:bookmarkEnd w:id="45"/>
      <w:bookmarkEnd w:id="46"/>
    </w:p>
    <w:p w14:paraId="77A70281">
      <w:pPr>
        <w:pStyle w:val="13"/>
        <w:snapToGrid/>
        <w:spacing w:before="0" w:beforeAutospacing="0" w:after="0" w:afterAutospacing="0"/>
        <w:ind w:firstLine="480"/>
        <w:jc w:val="both"/>
        <w:rPr>
          <w:rFonts w:eastAsia="宋体"/>
        </w:rPr>
      </w:pPr>
      <w:r>
        <w:rPr>
          <w:rFonts w:hint="eastAsia" w:eastAsia="宋体"/>
        </w:rPr>
        <w:t>根据《环境影响评价公众参与办法》（生态环境部令第</w:t>
      </w:r>
      <w:r>
        <w:rPr>
          <w:rFonts w:eastAsia="宋体"/>
        </w:rPr>
        <w:t>4</w:t>
      </w:r>
      <w:r>
        <w:rPr>
          <w:rFonts w:hint="eastAsia" w:eastAsia="宋体"/>
        </w:rPr>
        <w:t>号），</w:t>
      </w:r>
      <w:r>
        <w:rPr>
          <w:rFonts w:eastAsia="宋体"/>
        </w:rPr>
        <w:t>2025年</w:t>
      </w:r>
      <w:r>
        <w:rPr>
          <w:rFonts w:hint="eastAsia" w:eastAsia="宋体"/>
          <w:lang w:val="en-US" w:eastAsia="zh-CN"/>
        </w:rPr>
        <w:t>9</w:t>
      </w:r>
      <w:r>
        <w:rPr>
          <w:rFonts w:eastAsia="宋体"/>
        </w:rPr>
        <w:t>月</w:t>
      </w:r>
      <w:r>
        <w:rPr>
          <w:rFonts w:hint="eastAsia" w:eastAsia="宋体"/>
          <w:lang w:val="en-US" w:eastAsia="zh-CN"/>
        </w:rPr>
        <w:t>28</w:t>
      </w:r>
      <w:r>
        <w:rPr>
          <w:rFonts w:eastAsia="宋体"/>
        </w:rPr>
        <w:t>日</w:t>
      </w:r>
      <w:r>
        <w:rPr>
          <w:rFonts w:hint="eastAsia" w:eastAsia="宋体"/>
        </w:rPr>
        <w:t>~</w:t>
      </w:r>
      <w:r>
        <w:rPr>
          <w:rFonts w:hint="eastAsia" w:eastAsia="宋体"/>
          <w:lang w:val="en-US" w:eastAsia="zh-CN"/>
        </w:rPr>
        <w:t>10</w:t>
      </w:r>
      <w:r>
        <w:rPr>
          <w:rFonts w:hint="eastAsia" w:eastAsia="宋体"/>
        </w:rPr>
        <w:t>月</w:t>
      </w:r>
      <w:r>
        <w:rPr>
          <w:rFonts w:hint="eastAsia" w:eastAsia="宋体"/>
          <w:lang w:val="en-US" w:eastAsia="zh-CN"/>
        </w:rPr>
        <w:t>15</w:t>
      </w:r>
      <w:r>
        <w:rPr>
          <w:rFonts w:hint="eastAsia" w:eastAsia="宋体"/>
        </w:rPr>
        <w:t>日</w:t>
      </w:r>
      <w:r>
        <w:rPr>
          <w:rFonts w:eastAsia="宋体"/>
        </w:rPr>
        <w:t>，建设单位严格按照《环境影响评价公众参与办法》（生态环境部令第4号）要求，</w:t>
      </w:r>
      <w:r>
        <w:rPr>
          <w:rFonts w:hint="eastAsia" w:eastAsia="宋体"/>
        </w:rPr>
        <w:t>在</w:t>
      </w:r>
      <w:r>
        <w:rPr>
          <w:rFonts w:eastAsia="宋体"/>
        </w:rPr>
        <w:t>建设项目环境影响报告书征求意见稿形成后进行了二次公示。主要内容</w:t>
      </w:r>
      <w:r>
        <w:rPr>
          <w:rFonts w:hint="eastAsia" w:eastAsia="宋体"/>
        </w:rPr>
        <w:t>如下</w:t>
      </w:r>
      <w:r>
        <w:rPr>
          <w:rFonts w:eastAsia="宋体"/>
        </w:rPr>
        <w:t>：</w:t>
      </w:r>
    </w:p>
    <w:p w14:paraId="45F583EA">
      <w:pPr>
        <w:pStyle w:val="13"/>
        <w:snapToGrid/>
        <w:spacing w:before="0" w:beforeAutospacing="0" w:after="0" w:afterAutospacing="0"/>
        <w:ind w:firstLine="480"/>
        <w:rPr>
          <w:rFonts w:hint="eastAsia" w:eastAsia="宋体"/>
        </w:rPr>
      </w:pPr>
    </w:p>
    <w:p w14:paraId="56ED672D">
      <w:pPr>
        <w:widowControl/>
        <w:adjustRightInd/>
        <w:snapToGrid/>
        <w:spacing w:line="380" w:lineRule="exact"/>
        <w:ind w:firstLine="0" w:firstLineChars="0"/>
        <w:jc w:val="center"/>
        <w:rPr>
          <w:rFonts w:hint="eastAsia" w:ascii="宋体" w:hAnsi="宋体" w:eastAsia="宋体" w:cs="宋体"/>
          <w:b/>
          <w:bCs/>
          <w:color w:val="000000"/>
          <w:kern w:val="0"/>
          <w:lang w:eastAsia="zh-CN"/>
        </w:rPr>
      </w:pPr>
      <w:r>
        <w:rPr>
          <w:rFonts w:hint="eastAsia" w:ascii="宋体" w:hAnsi="宋体" w:eastAsia="宋体" w:cs="宋体"/>
          <w:b/>
          <w:bCs/>
          <w:color w:val="000000"/>
          <w:kern w:val="0"/>
          <w:lang w:eastAsia="zh-CN"/>
        </w:rPr>
        <w:t>茵梦达（天津）驱动技术有限公司茵梦达（驱动技术）研发生产基地项目</w:t>
      </w:r>
    </w:p>
    <w:p w14:paraId="4A493BB1">
      <w:pPr>
        <w:widowControl/>
        <w:adjustRightInd/>
        <w:snapToGrid/>
        <w:spacing w:line="380" w:lineRule="exact"/>
        <w:ind w:firstLine="0" w:firstLineChars="0"/>
        <w:jc w:val="center"/>
        <w:rPr>
          <w:rFonts w:ascii="宋体" w:hAnsi="宋体" w:eastAsia="宋体" w:cs="宋体"/>
          <w:b/>
          <w:bCs/>
          <w:color w:val="000000"/>
          <w:kern w:val="0"/>
        </w:rPr>
      </w:pPr>
      <w:r>
        <w:rPr>
          <w:rFonts w:hint="eastAsia" w:ascii="宋体" w:hAnsi="宋体" w:eastAsia="宋体" w:cs="宋体"/>
          <w:b/>
          <w:bCs/>
          <w:color w:val="000000"/>
          <w:kern w:val="0"/>
        </w:rPr>
        <w:t>环境影响报告书征求意见稿信息公开</w:t>
      </w:r>
    </w:p>
    <w:p w14:paraId="3FF208B1">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一、建设项目名称及概况</w:t>
      </w:r>
    </w:p>
    <w:p w14:paraId="6D04539C">
      <w:pPr>
        <w:pStyle w:val="13"/>
        <w:snapToGrid/>
        <w:spacing w:before="0" w:beforeAutospacing="0" w:after="0" w:afterAutospacing="0"/>
        <w:ind w:firstLine="480"/>
        <w:jc w:val="both"/>
        <w:rPr>
          <w:rFonts w:hint="eastAsia" w:ascii="Times New Roman" w:hAnsi="Times New Roman" w:eastAsia="宋体"/>
          <w:lang w:eastAsia="zh-CN"/>
        </w:rPr>
      </w:pPr>
      <w:r>
        <w:rPr>
          <w:rFonts w:hint="eastAsia" w:ascii="Times New Roman" w:hAnsi="Times New Roman" w:eastAsia="宋体"/>
        </w:rPr>
        <w:t>项目名称：</w:t>
      </w:r>
      <w:r>
        <w:rPr>
          <w:rFonts w:hint="eastAsia" w:ascii="Times New Roman" w:hAnsi="Times New Roman" w:eastAsia="宋体"/>
          <w:lang w:eastAsia="zh-CN"/>
        </w:rPr>
        <w:t>茵梦达（天津）驱动技术有限公司茵梦达（驱动技术）研发生产基地项目</w:t>
      </w:r>
    </w:p>
    <w:p w14:paraId="2B37077E">
      <w:pPr>
        <w:pStyle w:val="13"/>
        <w:snapToGrid/>
        <w:spacing w:before="0" w:beforeAutospacing="0" w:after="0" w:afterAutospacing="0"/>
        <w:ind w:firstLine="480"/>
        <w:jc w:val="both"/>
        <w:rPr>
          <w:rFonts w:hint="eastAsia" w:ascii="Times New Roman" w:hAnsi="Times New Roman" w:eastAsia="宋体"/>
          <w:lang w:eastAsia="zh-CN"/>
        </w:rPr>
      </w:pPr>
      <w:r>
        <w:rPr>
          <w:rFonts w:hint="eastAsia" w:ascii="Times New Roman" w:hAnsi="Times New Roman" w:eastAsia="宋体"/>
        </w:rPr>
        <w:t>建设单位：</w:t>
      </w:r>
      <w:r>
        <w:rPr>
          <w:rFonts w:hint="eastAsia" w:ascii="Times New Roman" w:hAnsi="Times New Roman" w:eastAsia="宋体"/>
          <w:lang w:eastAsia="zh-CN"/>
        </w:rPr>
        <w:t>茵梦达（天津）驱动技术有限公司</w:t>
      </w:r>
    </w:p>
    <w:p w14:paraId="273C95C2">
      <w:pPr>
        <w:pStyle w:val="13"/>
        <w:snapToGrid/>
        <w:spacing w:before="0" w:beforeAutospacing="0" w:after="0" w:afterAutospacing="0"/>
        <w:ind w:firstLine="480"/>
        <w:jc w:val="both"/>
        <w:rPr>
          <w:rFonts w:hint="eastAsia" w:ascii="Times New Roman" w:hAnsi="Times New Roman" w:eastAsia="宋体"/>
          <w:lang w:eastAsia="zh-CN"/>
        </w:rPr>
      </w:pPr>
      <w:r>
        <w:rPr>
          <w:rFonts w:hint="eastAsia" w:ascii="Times New Roman" w:hAnsi="Times New Roman" w:eastAsia="宋体"/>
        </w:rPr>
        <w:t>建设性质：</w:t>
      </w:r>
      <w:r>
        <w:rPr>
          <w:rFonts w:hint="eastAsia" w:ascii="Times New Roman" w:hAnsi="Times New Roman" w:eastAsia="宋体"/>
          <w:lang w:val="en-US" w:eastAsia="zh-CN"/>
        </w:rPr>
        <w:t>新建</w:t>
      </w:r>
    </w:p>
    <w:p w14:paraId="0A52C77D">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建设地点：天津市北辰区天津高端装备制造产业园兴河路与永进道交口东南</w:t>
      </w:r>
    </w:p>
    <w:p w14:paraId="43B4E836">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建设内容：本项目建设内容主要为购置并安装焊接、浸渍、喷涂等设备，生产工业电机产品，产能6000台/年。</w:t>
      </w:r>
    </w:p>
    <w:p w14:paraId="5166A374">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二、建设单位名称及联系方式</w:t>
      </w:r>
    </w:p>
    <w:p w14:paraId="1ED951F5">
      <w:pPr>
        <w:pStyle w:val="13"/>
        <w:snapToGrid/>
        <w:spacing w:before="0" w:beforeAutospacing="0" w:after="0" w:afterAutospacing="0"/>
        <w:ind w:firstLine="480"/>
        <w:jc w:val="both"/>
        <w:rPr>
          <w:rFonts w:hint="eastAsia" w:ascii="Times New Roman" w:hAnsi="Times New Roman" w:eastAsia="宋体"/>
          <w:lang w:eastAsia="zh-CN"/>
        </w:rPr>
      </w:pPr>
      <w:r>
        <w:rPr>
          <w:rFonts w:hint="eastAsia" w:ascii="Times New Roman" w:hAnsi="Times New Roman" w:eastAsia="宋体"/>
        </w:rPr>
        <w:t>建设单位：</w:t>
      </w:r>
      <w:r>
        <w:rPr>
          <w:rFonts w:hint="eastAsia" w:ascii="Times New Roman" w:hAnsi="Times New Roman" w:eastAsia="宋体"/>
          <w:lang w:eastAsia="zh-CN"/>
        </w:rPr>
        <w:t>茵梦达（天津）驱动技术有限公司</w:t>
      </w:r>
    </w:p>
    <w:p w14:paraId="1222CDED">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联系人：</w:t>
      </w:r>
      <w:r>
        <w:rPr>
          <w:rFonts w:hint="eastAsia" w:ascii="Times New Roman" w:hAnsi="Times New Roman" w:eastAsia="宋体"/>
          <w:lang w:val="en-US" w:eastAsia="zh-CN"/>
        </w:rPr>
        <w:t>赵</w:t>
      </w:r>
      <w:r>
        <w:rPr>
          <w:rFonts w:hint="eastAsia" w:ascii="Times New Roman" w:hAnsi="Times New Roman" w:eastAsia="宋体"/>
        </w:rPr>
        <w:t>工</w:t>
      </w:r>
    </w:p>
    <w:p w14:paraId="60A7DBB2">
      <w:pPr>
        <w:pStyle w:val="13"/>
        <w:snapToGrid/>
        <w:spacing w:before="0" w:beforeAutospacing="0" w:after="0" w:afterAutospacing="0"/>
        <w:ind w:firstLine="480"/>
        <w:jc w:val="both"/>
        <w:rPr>
          <w:rFonts w:hint="default" w:ascii="Times New Roman" w:hAnsi="Times New Roman" w:eastAsia="宋体"/>
          <w:lang w:val="en-US" w:eastAsia="zh-CN"/>
        </w:rPr>
      </w:pPr>
      <w:r>
        <w:rPr>
          <w:rFonts w:hint="eastAsia" w:ascii="Times New Roman" w:hAnsi="Times New Roman" w:eastAsia="宋体"/>
        </w:rPr>
        <w:t>联系电话：</w:t>
      </w:r>
      <w:r>
        <w:rPr>
          <w:rFonts w:hint="eastAsia" w:ascii="Times New Roman" w:hAnsi="Times New Roman" w:eastAsia="宋体"/>
          <w:lang w:val="en-US" w:eastAsia="zh-CN"/>
        </w:rPr>
        <w:t>15620985070</w:t>
      </w:r>
    </w:p>
    <w:p w14:paraId="0ACA4290">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 xml:space="preserve">联系地址：天津市北辰区天津高端装备制造产业园兴河路与永进道交口东南 </w:t>
      </w:r>
    </w:p>
    <w:p w14:paraId="099F7483">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三、环境影响评价报告编制单位</w:t>
      </w:r>
    </w:p>
    <w:p w14:paraId="49843A97">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编制单位：天津欣国环环保科技有限公司</w:t>
      </w:r>
    </w:p>
    <w:p w14:paraId="3D6A1ECB">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四、环境影响报告书征求意见稿全文下载链接</w:t>
      </w:r>
    </w:p>
    <w:p w14:paraId="04AC940F">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 xml:space="preserve">链接： https://pan.baidu.com/s/1gPLGKxHQjbanHcksUGbDBQ </w:t>
      </w:r>
    </w:p>
    <w:p w14:paraId="38438798">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提取码：1234。</w:t>
      </w:r>
    </w:p>
    <w:p w14:paraId="18236D41">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五、环境影响报告书征求意见稿纸质报告查阅方式和途径：</w:t>
      </w:r>
    </w:p>
    <w:p w14:paraId="58B33B82">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按照建设单位联系方式联系查阅纸质报告。</w:t>
      </w:r>
    </w:p>
    <w:p w14:paraId="1DD3D77B">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六、征求意见的公众范围</w:t>
      </w:r>
    </w:p>
    <w:p w14:paraId="53A5A40B">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主要为本项目环境影响评价范围内的公民、法人和其他组织</w:t>
      </w:r>
    </w:p>
    <w:p w14:paraId="02D109A6">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七、公众意见表下载链接：</w:t>
      </w:r>
    </w:p>
    <w:p w14:paraId="0E5AD402">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https://www.mee.gov.cn/xxgk2018/xxgk/xxgk01/201810/t20181024_665329.html。</w:t>
      </w:r>
    </w:p>
    <w:p w14:paraId="6EAC9F14">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八、提交公众意见表的方式和途径</w:t>
      </w:r>
    </w:p>
    <w:p w14:paraId="239EF8C5">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可通过第七条提供的链接下载公众意见表，通过信函、传真、电子邮件的方式将公众意见表提交给建设单位（联系地址见第二条），亦可来电或预约上门交谈（不接受与环境保护无关的问题）。</w:t>
      </w:r>
    </w:p>
    <w:p w14:paraId="5D658D5E">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九、公众提出意见的起止日期</w:t>
      </w:r>
    </w:p>
    <w:p w14:paraId="7D266235">
      <w:pPr>
        <w:pStyle w:val="13"/>
        <w:snapToGrid/>
        <w:spacing w:before="0" w:beforeAutospacing="0" w:after="0" w:afterAutospacing="0"/>
        <w:ind w:firstLine="480"/>
        <w:jc w:val="both"/>
        <w:rPr>
          <w:rFonts w:hint="eastAsia" w:ascii="Times New Roman" w:hAnsi="Times New Roman" w:eastAsia="宋体"/>
        </w:rPr>
      </w:pPr>
      <w:r>
        <w:rPr>
          <w:rFonts w:hint="eastAsia" w:ascii="Times New Roman" w:hAnsi="Times New Roman" w:eastAsia="宋体"/>
        </w:rPr>
        <w:t>自公示之日起10个工作日。</w:t>
      </w:r>
    </w:p>
    <w:p w14:paraId="43DC8609">
      <w:pPr>
        <w:pStyle w:val="13"/>
        <w:snapToGrid/>
        <w:spacing w:before="0" w:beforeAutospacing="0" w:after="0" w:afterAutospacing="0"/>
        <w:ind w:firstLine="480"/>
        <w:rPr>
          <w:rFonts w:eastAsia="宋体"/>
        </w:rPr>
      </w:pPr>
      <w:bookmarkStart w:id="72" w:name="_GoBack"/>
      <w:bookmarkEnd w:id="72"/>
    </w:p>
    <w:p w14:paraId="7525DE5F">
      <w:pPr>
        <w:pStyle w:val="13"/>
        <w:snapToGrid/>
        <w:spacing w:before="0" w:beforeAutospacing="0" w:after="0" w:afterAutospacing="0"/>
        <w:ind w:firstLine="480"/>
        <w:jc w:val="both"/>
        <w:rPr>
          <w:rFonts w:hint="eastAsia" w:eastAsia="宋体"/>
        </w:rPr>
      </w:pPr>
      <w:r>
        <w:rPr>
          <w:rFonts w:hint="eastAsia" w:eastAsia="宋体"/>
        </w:rPr>
        <w:t>本项目环境影响报告书征求意见稿在</w:t>
      </w:r>
      <w:r>
        <w:rPr>
          <w:rFonts w:hint="eastAsia" w:eastAsia="宋体"/>
          <w:lang w:val="en-US" w:eastAsia="zh-CN"/>
        </w:rPr>
        <w:t>天津欣国环环保科技有限公司网站</w:t>
      </w:r>
      <w:r>
        <w:rPr>
          <w:rFonts w:hint="eastAsia" w:eastAsia="宋体"/>
        </w:rPr>
        <w:t>（网址：http://www.tjxgh.cn/index.php/arc/show/id/799.html</w:t>
      </w:r>
      <w:r>
        <w:rPr>
          <w:rFonts w:eastAsia="宋体"/>
        </w:rPr>
        <w:t>)</w:t>
      </w:r>
      <w:r>
        <w:rPr>
          <w:rFonts w:hint="eastAsia" w:eastAsia="宋体"/>
        </w:rPr>
        <w:t>、《中华工商时报》以及本项目环境影响评价范围内公众易于知悉的场所进行了公示，征求与本项目环境影响有关的意见。网站公开日期为</w:t>
      </w:r>
      <w:r>
        <w:rPr>
          <w:rFonts w:eastAsia="宋体"/>
        </w:rPr>
        <w:t>2025</w:t>
      </w:r>
      <w:r>
        <w:rPr>
          <w:rFonts w:hint="eastAsia" w:eastAsia="宋体"/>
        </w:rPr>
        <w:t>年</w:t>
      </w:r>
      <w:r>
        <w:rPr>
          <w:rFonts w:hint="eastAsia" w:eastAsia="宋体"/>
          <w:lang w:val="en-US" w:eastAsia="zh-CN"/>
        </w:rPr>
        <w:t>9</w:t>
      </w:r>
      <w:r>
        <w:rPr>
          <w:rFonts w:hint="eastAsia" w:eastAsia="宋体"/>
        </w:rPr>
        <w:t>月</w:t>
      </w:r>
      <w:r>
        <w:rPr>
          <w:rFonts w:hint="eastAsia" w:eastAsia="宋体"/>
          <w:lang w:val="en-US" w:eastAsia="zh-CN"/>
        </w:rPr>
        <w:t>2</w:t>
      </w:r>
      <w:r>
        <w:rPr>
          <w:rFonts w:eastAsia="宋体"/>
        </w:rPr>
        <w:t>8</w:t>
      </w:r>
      <w:r>
        <w:rPr>
          <w:rFonts w:hint="eastAsia" w:eastAsia="宋体"/>
        </w:rPr>
        <w:t>日至</w:t>
      </w:r>
      <w:r>
        <w:rPr>
          <w:rFonts w:hint="eastAsia" w:eastAsia="宋体"/>
          <w:lang w:val="en-US" w:eastAsia="zh-CN"/>
        </w:rPr>
        <w:t>10</w:t>
      </w:r>
      <w:r>
        <w:rPr>
          <w:rFonts w:hint="eastAsia" w:eastAsia="宋体"/>
        </w:rPr>
        <w:t>月</w:t>
      </w:r>
      <w:r>
        <w:rPr>
          <w:rFonts w:hint="eastAsia" w:eastAsia="宋体"/>
          <w:lang w:val="en-US" w:eastAsia="zh-CN"/>
        </w:rPr>
        <w:t>15</w:t>
      </w:r>
      <w:r>
        <w:rPr>
          <w:rFonts w:hint="eastAsia" w:eastAsia="宋体"/>
        </w:rPr>
        <w:t>日，持续公开期限不少于</w:t>
      </w:r>
      <w:r>
        <w:rPr>
          <w:rFonts w:eastAsia="宋体"/>
        </w:rPr>
        <w:t>10</w:t>
      </w:r>
      <w:r>
        <w:rPr>
          <w:rFonts w:hint="eastAsia" w:eastAsia="宋体"/>
        </w:rPr>
        <w:t>个工作日；报纸公示日期为</w:t>
      </w:r>
      <w:r>
        <w:rPr>
          <w:rFonts w:eastAsia="宋体"/>
        </w:rPr>
        <w:t>2025</w:t>
      </w:r>
      <w:r>
        <w:rPr>
          <w:rFonts w:hint="eastAsia" w:eastAsia="宋体"/>
        </w:rPr>
        <w:t>年</w:t>
      </w:r>
      <w:r>
        <w:rPr>
          <w:rFonts w:hint="eastAsia" w:eastAsia="宋体"/>
          <w:lang w:val="en-US" w:eastAsia="zh-CN"/>
        </w:rPr>
        <w:t>10</w:t>
      </w:r>
      <w:r>
        <w:rPr>
          <w:rFonts w:hint="eastAsia" w:eastAsia="宋体"/>
        </w:rPr>
        <w:t>月</w:t>
      </w:r>
      <w:r>
        <w:rPr>
          <w:rFonts w:hint="eastAsia" w:eastAsia="宋体"/>
          <w:lang w:val="en-US" w:eastAsia="zh-CN"/>
        </w:rPr>
        <w:t>14</w:t>
      </w:r>
      <w:r>
        <w:rPr>
          <w:rFonts w:hint="eastAsia" w:eastAsia="宋体"/>
        </w:rPr>
        <w:t>日和</w:t>
      </w:r>
      <w:r>
        <w:rPr>
          <w:rFonts w:hint="eastAsia" w:eastAsia="宋体"/>
          <w:lang w:val="en-US" w:eastAsia="zh-CN"/>
        </w:rPr>
        <w:t>10</w:t>
      </w:r>
      <w:r>
        <w:rPr>
          <w:rFonts w:hint="eastAsia" w:eastAsia="宋体"/>
        </w:rPr>
        <w:t>月</w:t>
      </w:r>
      <w:r>
        <w:rPr>
          <w:rFonts w:eastAsia="宋体"/>
        </w:rPr>
        <w:t>1</w:t>
      </w:r>
      <w:r>
        <w:rPr>
          <w:rFonts w:hint="eastAsia" w:eastAsia="宋体"/>
          <w:lang w:val="en-US" w:eastAsia="zh-CN"/>
        </w:rPr>
        <w:t>5</w:t>
      </w:r>
      <w:r>
        <w:rPr>
          <w:rFonts w:hint="eastAsia" w:eastAsia="宋体"/>
        </w:rPr>
        <w:t>日，在征求意见的</w:t>
      </w:r>
      <w:r>
        <w:rPr>
          <w:rFonts w:eastAsia="宋体"/>
        </w:rPr>
        <w:t>10</w:t>
      </w:r>
      <w:r>
        <w:rPr>
          <w:rFonts w:hint="eastAsia" w:eastAsia="宋体"/>
        </w:rPr>
        <w:t>个工作日内公开信息不少于两次；</w:t>
      </w:r>
      <w:r>
        <w:rPr>
          <w:rFonts w:eastAsia="宋体"/>
        </w:rPr>
        <w:t>在建设项目所在地公众易于知悉的场所张贴公告</w:t>
      </w:r>
      <w:r>
        <w:rPr>
          <w:rFonts w:hint="eastAsia" w:eastAsia="宋体"/>
        </w:rPr>
        <w:t>日期为</w:t>
      </w:r>
      <w:r>
        <w:rPr>
          <w:rFonts w:eastAsia="宋体"/>
        </w:rPr>
        <w:t>2025</w:t>
      </w:r>
      <w:r>
        <w:rPr>
          <w:rFonts w:hint="eastAsia" w:eastAsia="宋体"/>
        </w:rPr>
        <w:t>年</w:t>
      </w:r>
      <w:r>
        <w:rPr>
          <w:rFonts w:hint="eastAsia" w:eastAsia="宋体"/>
          <w:lang w:val="en-US" w:eastAsia="zh-CN"/>
        </w:rPr>
        <w:t>9</w:t>
      </w:r>
      <w:r>
        <w:rPr>
          <w:rFonts w:hint="eastAsia" w:eastAsia="宋体"/>
        </w:rPr>
        <w:t>月</w:t>
      </w:r>
      <w:r>
        <w:rPr>
          <w:rFonts w:hint="eastAsia" w:eastAsia="宋体"/>
          <w:lang w:val="en-US" w:eastAsia="zh-CN"/>
        </w:rPr>
        <w:t>2</w:t>
      </w:r>
      <w:r>
        <w:rPr>
          <w:rFonts w:eastAsia="宋体"/>
        </w:rPr>
        <w:t>8</w:t>
      </w:r>
      <w:r>
        <w:rPr>
          <w:rFonts w:hint="eastAsia" w:eastAsia="宋体"/>
        </w:rPr>
        <w:t>日至</w:t>
      </w:r>
      <w:r>
        <w:rPr>
          <w:rFonts w:hint="eastAsia" w:eastAsia="宋体"/>
          <w:lang w:val="en-US" w:eastAsia="zh-CN"/>
        </w:rPr>
        <w:t>10</w:t>
      </w:r>
      <w:r>
        <w:rPr>
          <w:rFonts w:hint="eastAsia" w:eastAsia="宋体"/>
        </w:rPr>
        <w:t>月</w:t>
      </w:r>
      <w:r>
        <w:rPr>
          <w:rFonts w:hint="eastAsia" w:eastAsia="宋体"/>
          <w:lang w:val="en-US" w:eastAsia="zh-CN"/>
        </w:rPr>
        <w:t>15</w:t>
      </w:r>
      <w:r>
        <w:rPr>
          <w:rFonts w:hint="eastAsia" w:eastAsia="宋体"/>
        </w:rPr>
        <w:t>日，持续公开期限不少于</w:t>
      </w:r>
      <w:r>
        <w:rPr>
          <w:rFonts w:eastAsia="宋体"/>
        </w:rPr>
        <w:t>10</w:t>
      </w:r>
      <w:r>
        <w:rPr>
          <w:rFonts w:hint="eastAsia" w:eastAsia="宋体"/>
        </w:rPr>
        <w:t>个工作日。因此，本次环境影响报告书征求意见稿信息公开的内容和时限均符合《环境影响评价公众参与办法》的相关要求。</w:t>
      </w:r>
    </w:p>
    <w:p w14:paraId="52E6BDE7">
      <w:pPr>
        <w:pStyle w:val="13"/>
        <w:widowControl/>
        <w:adjustRightInd/>
        <w:snapToGrid/>
        <w:spacing w:before="0" w:beforeAutospacing="0" w:after="0" w:afterAutospacing="0"/>
        <w:ind w:firstLine="0" w:firstLineChars="0"/>
        <w:outlineLvl w:val="1"/>
        <w:rPr>
          <w:rFonts w:eastAsia="宋体"/>
          <w:b/>
          <w:bCs/>
        </w:rPr>
      </w:pPr>
      <w:bookmarkStart w:id="47" w:name="_Toc26042"/>
      <w:bookmarkStart w:id="48" w:name="_Toc16216"/>
      <w:r>
        <w:rPr>
          <w:rFonts w:eastAsia="宋体"/>
          <w:b/>
          <w:bCs/>
        </w:rPr>
        <w:t>3.2</w:t>
      </w:r>
      <w:r>
        <w:rPr>
          <w:rFonts w:hint="eastAsia" w:eastAsia="宋体"/>
          <w:b/>
          <w:bCs/>
        </w:rPr>
        <w:t>公示</w:t>
      </w:r>
      <w:r>
        <w:rPr>
          <w:rFonts w:eastAsia="宋体"/>
          <w:b/>
          <w:bCs/>
        </w:rPr>
        <w:t>方式</w:t>
      </w:r>
      <w:bookmarkEnd w:id="47"/>
      <w:bookmarkEnd w:id="48"/>
    </w:p>
    <w:p w14:paraId="76FF9BA5">
      <w:pPr>
        <w:adjustRightInd/>
        <w:snapToGrid/>
        <w:ind w:firstLine="480"/>
        <w:outlineLvl w:val="2"/>
        <w:rPr>
          <w:rFonts w:eastAsia="宋体"/>
        </w:rPr>
      </w:pPr>
      <w:bookmarkStart w:id="49" w:name="_Toc12674"/>
      <w:r>
        <w:rPr>
          <w:rFonts w:eastAsia="宋体"/>
        </w:rPr>
        <w:t>3.2.1网络</w:t>
      </w:r>
      <w:bookmarkEnd w:id="49"/>
    </w:p>
    <w:p w14:paraId="4D06053F">
      <w:pPr>
        <w:pStyle w:val="13"/>
        <w:widowControl/>
        <w:adjustRightInd/>
        <w:snapToGrid/>
        <w:spacing w:before="0" w:beforeAutospacing="0" w:after="0" w:afterAutospacing="0"/>
        <w:ind w:firstLine="480"/>
        <w:rPr>
          <w:rFonts w:eastAsia="宋体"/>
        </w:rPr>
      </w:pPr>
      <w:r>
        <w:rPr>
          <w:rFonts w:hint="eastAsia" w:eastAsia="宋体"/>
        </w:rPr>
        <w:t>建设单位于2</w:t>
      </w:r>
      <w:r>
        <w:rPr>
          <w:rFonts w:eastAsia="宋体"/>
        </w:rPr>
        <w:t>025</w:t>
      </w:r>
      <w:r>
        <w:rPr>
          <w:rFonts w:hint="eastAsia" w:eastAsia="宋体"/>
        </w:rPr>
        <w:t>年</w:t>
      </w:r>
      <w:r>
        <w:rPr>
          <w:rFonts w:hint="eastAsia" w:eastAsia="宋体"/>
          <w:lang w:val="en-US" w:eastAsia="zh-CN"/>
        </w:rPr>
        <w:t>9</w:t>
      </w:r>
      <w:r>
        <w:rPr>
          <w:rFonts w:hint="eastAsia" w:eastAsia="宋体"/>
        </w:rPr>
        <w:t>月</w:t>
      </w:r>
      <w:r>
        <w:rPr>
          <w:rFonts w:hint="eastAsia" w:eastAsia="宋体"/>
          <w:lang w:val="en-US" w:eastAsia="zh-CN"/>
        </w:rPr>
        <w:t>2</w:t>
      </w:r>
      <w:r>
        <w:rPr>
          <w:rFonts w:hint="eastAsia" w:eastAsia="宋体"/>
        </w:rPr>
        <w:t>8日至2</w:t>
      </w:r>
      <w:r>
        <w:rPr>
          <w:rFonts w:eastAsia="宋体"/>
        </w:rPr>
        <w:t>025</w:t>
      </w:r>
      <w:r>
        <w:rPr>
          <w:rFonts w:hint="eastAsia" w:eastAsia="宋体"/>
        </w:rPr>
        <w:t>年</w:t>
      </w:r>
      <w:r>
        <w:rPr>
          <w:rFonts w:hint="eastAsia" w:eastAsia="宋体"/>
          <w:lang w:val="en-US" w:eastAsia="zh-CN"/>
        </w:rPr>
        <w:t>10</w:t>
      </w:r>
      <w:r>
        <w:rPr>
          <w:rFonts w:hint="eastAsia" w:eastAsia="宋体"/>
        </w:rPr>
        <w:t>月</w:t>
      </w:r>
      <w:r>
        <w:rPr>
          <w:rFonts w:hint="eastAsia" w:eastAsia="宋体"/>
          <w:lang w:val="en-US" w:eastAsia="zh-CN"/>
        </w:rPr>
        <w:t>15</w:t>
      </w:r>
      <w:r>
        <w:rPr>
          <w:rFonts w:hint="eastAsia" w:eastAsia="宋体"/>
        </w:rPr>
        <w:t>日在</w:t>
      </w:r>
      <w:r>
        <w:rPr>
          <w:rFonts w:hint="eastAsia" w:eastAsia="宋体"/>
          <w:lang w:val="en-US" w:eastAsia="zh-CN"/>
        </w:rPr>
        <w:t>天津欣国环环保科技有限公司网站</w:t>
      </w:r>
      <w:r>
        <w:rPr>
          <w:rFonts w:hint="eastAsia" w:eastAsia="宋体"/>
        </w:rPr>
        <w:t>上进行了本项目环境影响报告书征求意见稿信息公示，公示时间不少于1</w:t>
      </w:r>
      <w:r>
        <w:rPr>
          <w:rFonts w:eastAsia="宋体"/>
        </w:rPr>
        <w:t>0</w:t>
      </w:r>
      <w:r>
        <w:rPr>
          <w:rFonts w:hint="eastAsia" w:eastAsia="宋体"/>
        </w:rPr>
        <w:t>个工作日。</w:t>
      </w:r>
    </w:p>
    <w:p w14:paraId="7807DF93">
      <w:pPr>
        <w:spacing w:before="178" w:beforeLines="0" w:afterLines="0" w:line="391" w:lineRule="auto"/>
        <w:ind w:firstLine="480"/>
        <w:jc w:val="left"/>
        <w:rPr>
          <w:rFonts w:hint="default" w:eastAsia="宋体"/>
          <w:sz w:val="24"/>
          <w:szCs w:val="24"/>
          <w:lang w:val="en-US" w:eastAsia="zh-CN"/>
        </w:rPr>
      </w:pPr>
      <w:r>
        <w:rPr>
          <w:rFonts w:hint="eastAsia" w:eastAsia="宋体"/>
          <w:lang w:val="en-US" w:eastAsia="zh-CN"/>
        </w:rPr>
        <w:t>天津欣国环环保科技有限公司网站</w:t>
      </w:r>
      <w:r>
        <w:rPr>
          <w:rFonts w:hint="eastAsia" w:ascii="ËÎÌå" w:hAnsi="ËÎÌå" w:eastAsia="ËÎÌå"/>
          <w:color w:val="000000"/>
          <w:sz w:val="24"/>
          <w:szCs w:val="24"/>
        </w:rPr>
        <w:t>是天津地区重要的企业官方网站，具有较大的影响力</w:t>
      </w:r>
      <w:r>
        <w:rPr>
          <w:rFonts w:hint="eastAsia" w:ascii="ËÎÌå" w:hAnsi="ËÎÌå" w:eastAsia="宋体"/>
          <w:color w:val="000000"/>
          <w:sz w:val="24"/>
          <w:szCs w:val="24"/>
          <w:lang w:eastAsia="zh-CN"/>
        </w:rPr>
        <w:t>，</w:t>
      </w:r>
      <w:r>
        <w:rPr>
          <w:rFonts w:hint="eastAsia" w:ascii="ËÎÌå" w:hAnsi="ËÎÌå" w:eastAsia="宋体"/>
          <w:color w:val="000000"/>
          <w:sz w:val="24"/>
          <w:szCs w:val="24"/>
          <w:lang w:val="en-US" w:eastAsia="zh-CN"/>
        </w:rPr>
        <w:t>符合载体选取要求。</w:t>
      </w:r>
    </w:p>
    <w:p w14:paraId="2442D2CB">
      <w:pPr>
        <w:pStyle w:val="13"/>
        <w:widowControl/>
        <w:adjustRightInd/>
        <w:snapToGrid/>
        <w:spacing w:before="0" w:beforeAutospacing="0" w:after="0" w:afterAutospacing="0"/>
        <w:ind w:firstLine="480"/>
        <w:rPr>
          <w:rFonts w:eastAsia="宋体"/>
        </w:rPr>
      </w:pPr>
      <w:r>
        <w:rPr>
          <w:rFonts w:eastAsia="宋体"/>
        </w:rPr>
        <w:t>网络公示</w:t>
      </w:r>
      <w:r>
        <w:rPr>
          <w:rFonts w:hint="eastAsia" w:eastAsia="宋体"/>
        </w:rPr>
        <w:t>网址为：</w:t>
      </w:r>
    </w:p>
    <w:p w14:paraId="007D85C7">
      <w:pPr>
        <w:pStyle w:val="13"/>
        <w:widowControl/>
        <w:adjustRightInd/>
        <w:snapToGrid/>
        <w:spacing w:before="0" w:beforeAutospacing="0" w:after="0" w:afterAutospacing="0"/>
        <w:ind w:firstLine="480"/>
        <w:rPr>
          <w:rFonts w:eastAsia="宋体"/>
        </w:rPr>
      </w:pPr>
      <w:r>
        <w:rPr>
          <w:rFonts w:hint="eastAsia" w:eastAsia="宋体"/>
        </w:rPr>
        <w:t>http://www.tjxgh.cn/index.php/arc/show/id/799.html；</w:t>
      </w:r>
    </w:p>
    <w:p w14:paraId="38B3E0FD">
      <w:pPr>
        <w:pStyle w:val="13"/>
        <w:widowControl/>
        <w:adjustRightInd/>
        <w:snapToGrid/>
        <w:spacing w:before="0" w:beforeAutospacing="0" w:after="0" w:afterAutospacing="0"/>
        <w:ind w:firstLine="480"/>
        <w:rPr>
          <w:rFonts w:eastAsia="宋体"/>
        </w:rPr>
      </w:pPr>
      <w:r>
        <w:rPr>
          <w:rFonts w:eastAsia="宋体"/>
        </w:rPr>
        <w:t>网站公示截图如下。</w:t>
      </w:r>
    </w:p>
    <w:p w14:paraId="6F99A786">
      <w:pPr>
        <w:pStyle w:val="13"/>
        <w:widowControl/>
        <w:adjustRightInd/>
        <w:snapToGrid/>
        <w:spacing w:beforeAutospacing="0" w:afterAutospacing="0"/>
        <w:ind w:firstLine="480"/>
        <w:rPr>
          <w:rFonts w:hint="eastAsia" w:eastAsia="宋体"/>
        </w:rPr>
      </w:pPr>
    </w:p>
    <w:p w14:paraId="3D7DC708">
      <w:pPr>
        <w:pStyle w:val="13"/>
        <w:widowControl/>
        <w:adjustRightInd/>
        <w:snapToGrid/>
        <w:spacing w:beforeAutospacing="0" w:afterAutospacing="0"/>
        <w:ind w:firstLine="480"/>
        <w:rPr>
          <w:rFonts w:hint="eastAsia" w:eastAsia="宋体"/>
        </w:rPr>
        <w:sectPr>
          <w:pgSz w:w="11906" w:h="16838"/>
          <w:pgMar w:top="1440" w:right="1800" w:bottom="1440" w:left="1800" w:header="851" w:footer="992" w:gutter="0"/>
          <w:cols w:space="720" w:num="1"/>
          <w:docGrid w:type="lines" w:linePitch="312" w:charSpace="0"/>
        </w:sectPr>
      </w:pPr>
    </w:p>
    <w:p w14:paraId="7A214BF7">
      <w:pPr>
        <w:pStyle w:val="13"/>
        <w:widowControl/>
        <w:adjustRightInd/>
        <w:snapToGrid/>
        <w:spacing w:beforeAutospacing="0" w:afterAutospacing="0"/>
        <w:ind w:firstLine="0" w:firstLineChars="0"/>
        <w:jc w:val="center"/>
        <w:rPr>
          <w:rFonts w:eastAsia="宋体"/>
        </w:rPr>
      </w:pPr>
      <w:r>
        <w:drawing>
          <wp:inline distT="0" distB="0" distL="114300" distR="114300">
            <wp:extent cx="7101840" cy="4982210"/>
            <wp:effectExtent l="0" t="0" r="3810" b="889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7"/>
                    <a:stretch>
                      <a:fillRect/>
                    </a:stretch>
                  </pic:blipFill>
                  <pic:spPr>
                    <a:xfrm>
                      <a:off x="0" y="0"/>
                      <a:ext cx="7101840" cy="4982210"/>
                    </a:xfrm>
                    <a:prstGeom prst="rect">
                      <a:avLst/>
                    </a:prstGeom>
                    <a:noFill/>
                    <a:ln>
                      <a:noFill/>
                    </a:ln>
                  </pic:spPr>
                </pic:pic>
              </a:graphicData>
            </a:graphic>
          </wp:inline>
        </w:drawing>
      </w:r>
    </w:p>
    <w:p w14:paraId="1282EA0A">
      <w:pPr>
        <w:pStyle w:val="13"/>
        <w:widowControl/>
        <w:adjustRightInd/>
        <w:snapToGrid/>
        <w:spacing w:beforeAutospacing="0" w:afterAutospacing="0"/>
        <w:ind w:firstLine="0" w:firstLineChars="0"/>
        <w:jc w:val="center"/>
        <w:rPr>
          <w:rFonts w:hint="eastAsia" w:eastAsia="宋体"/>
        </w:rPr>
      </w:pPr>
      <w:r>
        <w:drawing>
          <wp:inline distT="0" distB="0" distL="114300" distR="114300">
            <wp:extent cx="8856980" cy="3004185"/>
            <wp:effectExtent l="0" t="0" r="1270" b="571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8"/>
                    <a:stretch>
                      <a:fillRect/>
                    </a:stretch>
                  </pic:blipFill>
                  <pic:spPr>
                    <a:xfrm>
                      <a:off x="0" y="0"/>
                      <a:ext cx="8856980" cy="3004185"/>
                    </a:xfrm>
                    <a:prstGeom prst="rect">
                      <a:avLst/>
                    </a:prstGeom>
                    <a:noFill/>
                    <a:ln>
                      <a:noFill/>
                    </a:ln>
                  </pic:spPr>
                </pic:pic>
              </a:graphicData>
            </a:graphic>
          </wp:inline>
        </w:drawing>
      </w:r>
    </w:p>
    <w:p w14:paraId="788F5D53">
      <w:pPr>
        <w:pStyle w:val="13"/>
        <w:widowControl/>
        <w:adjustRightInd/>
        <w:snapToGrid/>
        <w:spacing w:beforeAutospacing="0" w:afterAutospacing="0"/>
        <w:ind w:firstLine="0" w:firstLineChars="0"/>
        <w:jc w:val="center"/>
        <w:rPr>
          <w:rFonts w:hint="eastAsia" w:eastAsia="宋体"/>
        </w:rPr>
        <w:sectPr>
          <w:pgSz w:w="16838" w:h="11906" w:orient="landscape"/>
          <w:pgMar w:top="1800" w:right="1440" w:bottom="1800" w:left="1440" w:header="851" w:footer="992" w:gutter="0"/>
          <w:cols w:space="720" w:num="1"/>
          <w:docGrid w:type="lines" w:linePitch="326" w:charSpace="0"/>
        </w:sectPr>
      </w:pPr>
    </w:p>
    <w:p w14:paraId="65D11C4D">
      <w:pPr>
        <w:adjustRightInd/>
        <w:snapToGrid/>
        <w:ind w:firstLine="480"/>
        <w:outlineLvl w:val="2"/>
        <w:rPr>
          <w:rFonts w:eastAsia="宋体"/>
        </w:rPr>
      </w:pPr>
      <w:bookmarkStart w:id="50" w:name="_Toc20110"/>
      <w:r>
        <w:rPr>
          <w:rFonts w:eastAsia="宋体"/>
        </w:rPr>
        <w:t>3.2.2报纸</w:t>
      </w:r>
      <w:bookmarkEnd w:id="50"/>
    </w:p>
    <w:p w14:paraId="62AAB5BE">
      <w:pPr>
        <w:pStyle w:val="13"/>
        <w:widowControl/>
        <w:adjustRightInd/>
        <w:snapToGrid/>
        <w:spacing w:before="0" w:beforeAutospacing="0" w:after="0" w:afterAutospacing="0"/>
        <w:ind w:firstLine="480"/>
        <w:jc w:val="both"/>
        <w:rPr>
          <w:rFonts w:eastAsia="宋体"/>
        </w:rPr>
      </w:pPr>
      <w:r>
        <w:rPr>
          <w:rFonts w:eastAsia="宋体"/>
        </w:rPr>
        <w:t>按照《环境影响评价公众参与办法》第十条及第十一条要求，建设单位于</w:t>
      </w:r>
      <w:r>
        <w:rPr>
          <w:rFonts w:eastAsia="宋体"/>
          <w:snapToGrid w:val="0"/>
          <w:shd w:val="clear" w:color="auto" w:fill="FFFFFF"/>
          <w:lang w:bidi="ar"/>
        </w:rPr>
        <w:t>2025年</w:t>
      </w:r>
      <w:r>
        <w:rPr>
          <w:rFonts w:hint="eastAsia" w:eastAsia="宋体"/>
          <w:snapToGrid w:val="0"/>
          <w:shd w:val="clear" w:color="auto" w:fill="FFFFFF"/>
          <w:lang w:val="en-US" w:eastAsia="zh-CN" w:bidi="ar"/>
        </w:rPr>
        <w:t>10</w:t>
      </w:r>
      <w:r>
        <w:rPr>
          <w:rFonts w:eastAsia="宋体"/>
          <w:snapToGrid w:val="0"/>
          <w:shd w:val="clear" w:color="auto" w:fill="FFFFFF"/>
          <w:lang w:bidi="ar"/>
        </w:rPr>
        <w:t>月</w:t>
      </w:r>
      <w:r>
        <w:rPr>
          <w:rFonts w:hint="eastAsia" w:eastAsia="宋体"/>
          <w:snapToGrid w:val="0"/>
          <w:shd w:val="clear" w:color="auto" w:fill="FFFFFF"/>
          <w:lang w:val="en-US" w:eastAsia="zh-CN" w:bidi="ar"/>
        </w:rPr>
        <w:t>14</w:t>
      </w:r>
      <w:r>
        <w:rPr>
          <w:rFonts w:eastAsia="宋体"/>
          <w:snapToGrid w:val="0"/>
          <w:shd w:val="clear" w:color="auto" w:fill="FFFFFF"/>
          <w:lang w:bidi="ar"/>
        </w:rPr>
        <w:t>日和2025年</w:t>
      </w:r>
      <w:r>
        <w:rPr>
          <w:rFonts w:hint="eastAsia" w:eastAsia="宋体"/>
          <w:snapToGrid w:val="0"/>
          <w:shd w:val="clear" w:color="auto" w:fill="FFFFFF"/>
          <w:lang w:val="en-US" w:eastAsia="zh-CN" w:bidi="ar"/>
        </w:rPr>
        <w:t>10</w:t>
      </w:r>
      <w:r>
        <w:rPr>
          <w:rFonts w:eastAsia="宋体"/>
          <w:snapToGrid w:val="0"/>
          <w:shd w:val="clear" w:color="auto" w:fill="FFFFFF"/>
          <w:lang w:bidi="ar"/>
        </w:rPr>
        <w:t>月1</w:t>
      </w:r>
      <w:r>
        <w:rPr>
          <w:rFonts w:hint="eastAsia" w:eastAsia="宋体"/>
          <w:snapToGrid w:val="0"/>
          <w:shd w:val="clear" w:color="auto" w:fill="FFFFFF"/>
          <w:lang w:val="en-US" w:eastAsia="zh-CN" w:bidi="ar"/>
        </w:rPr>
        <w:t>5</w:t>
      </w:r>
      <w:r>
        <w:rPr>
          <w:rFonts w:eastAsia="宋体"/>
          <w:snapToGrid w:val="0"/>
          <w:shd w:val="clear" w:color="auto" w:fill="FFFFFF"/>
          <w:lang w:bidi="ar"/>
        </w:rPr>
        <w:t>日</w:t>
      </w:r>
      <w:r>
        <w:rPr>
          <w:rFonts w:eastAsia="宋体"/>
        </w:rPr>
        <w:t>在</w:t>
      </w:r>
      <w:r>
        <w:rPr>
          <w:rFonts w:hint="eastAsia" w:eastAsia="宋体"/>
        </w:rPr>
        <w:t>项目所在地公众易于接触的报纸</w:t>
      </w:r>
      <w:r>
        <w:rPr>
          <w:rFonts w:eastAsia="宋体"/>
        </w:rPr>
        <w:t>《</w:t>
      </w:r>
      <w:r>
        <w:rPr>
          <w:rFonts w:hint="eastAsia" w:eastAsia="宋体"/>
        </w:rPr>
        <w:t>中华工商时报</w:t>
      </w:r>
      <w:r>
        <w:rPr>
          <w:rFonts w:eastAsia="宋体"/>
        </w:rPr>
        <w:t>》进行了两次</w:t>
      </w:r>
      <w:r>
        <w:rPr>
          <w:rFonts w:hint="eastAsia" w:eastAsia="宋体"/>
        </w:rPr>
        <w:t>信息公开</w:t>
      </w:r>
      <w:r>
        <w:rPr>
          <w:rFonts w:eastAsia="宋体"/>
        </w:rPr>
        <w:t>。</w:t>
      </w:r>
    </w:p>
    <w:p w14:paraId="04A14A56">
      <w:pPr>
        <w:pStyle w:val="13"/>
        <w:widowControl/>
        <w:adjustRightInd/>
        <w:snapToGrid/>
        <w:spacing w:before="0" w:beforeAutospacing="0" w:after="0" w:afterAutospacing="0"/>
        <w:ind w:firstLine="480"/>
        <w:rPr>
          <w:rFonts w:eastAsia="宋体"/>
        </w:rPr>
      </w:pPr>
      <w:r>
        <w:rPr>
          <w:rFonts w:hint="eastAsia" w:eastAsia="宋体"/>
        </w:rPr>
        <w:t>载体符合性分析：</w:t>
      </w:r>
    </w:p>
    <w:p w14:paraId="1B772BA1">
      <w:pPr>
        <w:pStyle w:val="13"/>
        <w:widowControl/>
        <w:adjustRightInd/>
        <w:snapToGrid/>
        <w:spacing w:before="0" w:beforeAutospacing="0" w:after="0" w:afterAutospacing="0"/>
        <w:ind w:firstLine="480"/>
        <w:rPr>
          <w:rFonts w:eastAsia="宋体"/>
        </w:rPr>
      </w:pPr>
      <w:r>
        <w:rPr>
          <w:rFonts w:ascii="Times New Roman" w:hAnsi="Times New Roman" w:eastAsia="宋体"/>
        </w:rPr>
        <w:t>《中华工商时报》是由中华全国工商业联合会主管主办，以促进民营经济健康发展、引导民营经济人士健康成长、树立民营经济和民营经济人士积极健康形象为根本宗旨的新政经类报纸。办报思想充分体现了“统战性、经济性、民间性”。中华工商时报1989年10月6日在北京创刊，海内外公开发行。</w:t>
      </w:r>
      <w:r>
        <w:rPr>
          <w:rFonts w:hint="eastAsia" w:eastAsia="宋体"/>
        </w:rPr>
        <w:t>《中华工商时报》属于</w:t>
      </w:r>
      <w:r>
        <w:rPr>
          <w:rFonts w:eastAsia="宋体"/>
        </w:rPr>
        <w:t>建设项目所在地公众易于接触的报纸</w:t>
      </w:r>
      <w:r>
        <w:rPr>
          <w:rFonts w:hint="eastAsia" w:eastAsia="宋体"/>
        </w:rPr>
        <w:t>。报纸选取</w:t>
      </w:r>
      <w:r>
        <w:rPr>
          <w:rFonts w:eastAsia="宋体"/>
        </w:rPr>
        <w:t>符合《环境影响评价公众参与办法》(</w:t>
      </w:r>
      <w:r>
        <w:rPr>
          <w:rFonts w:hint="eastAsia" w:eastAsia="宋体"/>
        </w:rPr>
        <w:t>生态环境部令第</w:t>
      </w:r>
      <w:r>
        <w:rPr>
          <w:rFonts w:eastAsia="宋体"/>
        </w:rPr>
        <w:t>4</w:t>
      </w:r>
      <w:r>
        <w:rPr>
          <w:rFonts w:hint="eastAsia" w:eastAsia="宋体"/>
        </w:rPr>
        <w:t>号</w:t>
      </w:r>
      <w:r>
        <w:rPr>
          <w:rFonts w:eastAsia="宋体"/>
        </w:rPr>
        <w:t>)</w:t>
      </w:r>
      <w:r>
        <w:rPr>
          <w:rFonts w:hint="eastAsia" w:eastAsia="宋体"/>
        </w:rPr>
        <w:t xml:space="preserve"> 中第十一条</w:t>
      </w:r>
      <w:r>
        <w:rPr>
          <w:rFonts w:eastAsia="宋体"/>
        </w:rPr>
        <w:t>“</w:t>
      </w:r>
      <w:r>
        <w:rPr>
          <w:rFonts w:hint="eastAsia" w:eastAsia="宋体"/>
        </w:rPr>
        <w:t>（二）通过建设项目所在地公众易于接触的报纸公开…</w:t>
      </w:r>
      <w:r>
        <w:rPr>
          <w:rFonts w:eastAsia="宋体"/>
        </w:rPr>
        <w:t>”</w:t>
      </w:r>
      <w:r>
        <w:rPr>
          <w:rFonts w:hint="eastAsia" w:eastAsia="宋体"/>
        </w:rPr>
        <w:t>的相关</w:t>
      </w:r>
      <w:r>
        <w:rPr>
          <w:rFonts w:eastAsia="宋体"/>
        </w:rPr>
        <w:t>要求。</w:t>
      </w:r>
    </w:p>
    <w:p w14:paraId="179FB709">
      <w:pPr>
        <w:pStyle w:val="13"/>
        <w:widowControl/>
        <w:adjustRightInd/>
        <w:snapToGrid/>
        <w:spacing w:before="0" w:beforeAutospacing="0" w:after="0" w:afterAutospacing="0"/>
        <w:ind w:firstLine="480"/>
        <w:jc w:val="both"/>
        <w:rPr>
          <w:rFonts w:eastAsia="宋体"/>
        </w:rPr>
      </w:pPr>
      <w:r>
        <w:rPr>
          <w:rFonts w:eastAsia="宋体"/>
        </w:rPr>
        <w:t>报纸公示</w:t>
      </w:r>
      <w:r>
        <w:rPr>
          <w:rFonts w:hint="eastAsia" w:eastAsia="宋体"/>
        </w:rPr>
        <w:t>照片</w:t>
      </w:r>
      <w:r>
        <w:rPr>
          <w:rFonts w:eastAsia="宋体"/>
        </w:rPr>
        <w:t>如下。</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4F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2F48022C">
            <w:pPr>
              <w:pStyle w:val="7"/>
              <w:keepNext w:val="0"/>
              <w:keepLines w:val="0"/>
              <w:suppressLineNumbers w:val="0"/>
              <w:spacing w:before="0" w:beforeAutospacing="0" w:after="0" w:afterAutospacing="0"/>
              <w:ind w:left="0" w:right="0" w:firstLine="0" w:firstLineChars="0"/>
              <w:jc w:val="center"/>
              <w:rPr>
                <w:rFonts w:hint="default" w:eastAsia="宋体" w:cs="Times New Roman"/>
                <w:color w:val="FF0000"/>
                <w:sz w:val="24"/>
              </w:rPr>
            </w:pPr>
            <w:r>
              <w:rPr>
                <w:rFonts w:hint="default" w:eastAsia="宋体" w:cs="Times New Roman"/>
                <w:color w:val="FF0000"/>
                <w:sz w:val="24"/>
              </w:rPr>
              <mc:AlternateContent>
                <mc:Choice Requires="wps">
                  <w:drawing>
                    <wp:anchor distT="0" distB="0" distL="114300" distR="114300" simplePos="0" relativeHeight="251659264" behindDoc="0" locked="0" layoutInCell="1" allowOverlap="1">
                      <wp:simplePos x="0" y="0"/>
                      <wp:positionH relativeFrom="column">
                        <wp:posOffset>1047750</wp:posOffset>
                      </wp:positionH>
                      <wp:positionV relativeFrom="paragraph">
                        <wp:posOffset>2841625</wp:posOffset>
                      </wp:positionV>
                      <wp:extent cx="1762125" cy="2438400"/>
                      <wp:effectExtent l="5080" t="4445" r="1356995" b="281305"/>
                      <wp:wrapNone/>
                      <wp:docPr id="1" name="自选图形 4"/>
                      <wp:cNvGraphicFramePr/>
                      <a:graphic xmlns:a="http://schemas.openxmlformats.org/drawingml/2006/main">
                        <a:graphicData uri="http://schemas.microsoft.com/office/word/2010/wordprocessingShape">
                          <wps:wsp>
                            <wps:cNvSpPr/>
                            <wps:spPr>
                              <a:xfrm>
                                <a:off x="0" y="0"/>
                                <a:ext cx="1762125" cy="2438400"/>
                              </a:xfrm>
                              <a:prstGeom prst="wedgeRoundRectCallout">
                                <a:avLst>
                                  <a:gd name="adj1" fmla="val 124593"/>
                                  <a:gd name="adj2" fmla="val 60236"/>
                                  <a:gd name="adj3" fmla="val 16667"/>
                                </a:avLst>
                              </a:prstGeom>
                              <a:noFill/>
                              <a:ln w="9525" cap="flat" cmpd="sng">
                                <a:solidFill>
                                  <a:srgbClr val="000000"/>
                                </a:solidFill>
                                <a:prstDash val="solid"/>
                                <a:miter/>
                                <a:headEnd type="none" w="med" len="med"/>
                                <a:tailEnd type="none" w="med" len="med"/>
                              </a:ln>
                            </wps:spPr>
                            <wps:txbx>
                              <w:txbxContent>
                                <w:p w14:paraId="1B96F30B">
                                  <w:pPr>
                                    <w:ind w:firstLine="0" w:firstLineChars="0"/>
                                  </w:pPr>
                                  <w:r>
                                    <w:drawing>
                                      <wp:inline distT="0" distB="0" distL="114300" distR="114300">
                                        <wp:extent cx="1450975" cy="2239645"/>
                                        <wp:effectExtent l="0" t="0" r="1587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1450975" cy="2239645"/>
                                                </a:xfrm>
                                                <a:prstGeom prst="rect">
                                                  <a:avLst/>
                                                </a:prstGeom>
                                                <a:noFill/>
                                                <a:ln>
                                                  <a:noFill/>
                                                </a:ln>
                                              </pic:spPr>
                                            </pic:pic>
                                          </a:graphicData>
                                        </a:graphic>
                                      </wp:inline>
                                    </w:drawing>
                                  </w:r>
                                </w:p>
                              </w:txbxContent>
                            </wps:txbx>
                            <wps:bodyPr wrap="square" upright="1"/>
                          </wps:wsp>
                        </a:graphicData>
                      </a:graphic>
                    </wp:anchor>
                  </w:drawing>
                </mc:Choice>
                <mc:Fallback>
                  <w:pict>
                    <v:shape id="自选图形 4" o:spid="_x0000_s1026" o:spt="62" type="#_x0000_t62" style="position:absolute;left:0pt;margin-left:82.5pt;margin-top:223.75pt;height:192pt;width:138.75pt;z-index:251659264;mso-width-relative:page;mso-height-relative:page;" filled="f" stroked="t" coordsize="21600,21600" o:gfxdata="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jU842gAAAAsBAAAPAAAA&#10;AAAAAAEAIAAAACIAAABkcnMvZG93bnJldi54bWxQSwECFAAUAAAACACHTuJAszXlk0wCAACcBAAA&#10;DgAAAAAAAAABACAAAAApAQAAZHJzL2Uyb0RvYy54bWxQSwUGAAAAAAYABgBZAQAA5wUAAAAA&#10;" adj="37712,23811,14400">
                      <v:fill on="f" focussize="0,0"/>
                      <v:stroke color="#000000" joinstyle="miter"/>
                      <v:imagedata o:title=""/>
                      <o:lock v:ext="edit" aspectratio="f"/>
                      <v:textbox>
                        <w:txbxContent>
                          <w:p w14:paraId="1B96F30B">
                            <w:pPr>
                              <w:ind w:firstLine="0" w:firstLineChars="0"/>
                            </w:pPr>
                            <w:r>
                              <w:drawing>
                                <wp:inline distT="0" distB="0" distL="114300" distR="114300">
                                  <wp:extent cx="1450975" cy="2239645"/>
                                  <wp:effectExtent l="0" t="0" r="1587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1450975" cy="2239645"/>
                                          </a:xfrm>
                                          <a:prstGeom prst="rect">
                                            <a:avLst/>
                                          </a:prstGeom>
                                          <a:noFill/>
                                          <a:ln>
                                            <a:noFill/>
                                          </a:ln>
                                        </pic:spPr>
                                      </pic:pic>
                                    </a:graphicData>
                                  </a:graphic>
                                </wp:inline>
                              </w:drawing>
                            </w:r>
                          </w:p>
                        </w:txbxContent>
                      </v:textbox>
                    </v:shape>
                  </w:pict>
                </mc:Fallback>
              </mc:AlternateContent>
            </w:r>
            <w:r>
              <w:rPr>
                <w:rFonts w:hint="default" w:eastAsia="宋体" w:cs="Times New Roman"/>
                <w:color w:val="FF0000"/>
                <w:sz w:val="24"/>
              </w:rPr>
              <w:drawing>
                <wp:inline distT="0" distB="0" distL="114300" distR="114300">
                  <wp:extent cx="5266690" cy="7022465"/>
                  <wp:effectExtent l="0" t="0" r="10160"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5266690" cy="7022465"/>
                          </a:xfrm>
                          <a:prstGeom prst="rect">
                            <a:avLst/>
                          </a:prstGeom>
                          <a:noFill/>
                          <a:ln>
                            <a:noFill/>
                          </a:ln>
                        </pic:spPr>
                      </pic:pic>
                    </a:graphicData>
                  </a:graphic>
                </wp:inline>
              </w:drawing>
            </w:r>
            <w:r>
              <w:rPr>
                <w:rFonts w:hint="default"/>
              </w:rPr>
              <w:commentReference w:id="0"/>
            </w:r>
          </w:p>
        </w:tc>
      </w:tr>
      <w:tr w14:paraId="4863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362C53A8">
            <w:pPr>
              <w:keepNext w:val="0"/>
              <w:keepLines w:val="0"/>
              <w:widowControl/>
              <w:suppressLineNumbers w:val="0"/>
              <w:adjustRightInd/>
              <w:snapToGrid/>
              <w:spacing w:before="100" w:beforeAutospacing="1" w:after="100" w:afterAutospacing="1" w:line="240" w:lineRule="auto"/>
              <w:ind w:left="0" w:right="0" w:firstLine="0" w:firstLineChars="0"/>
              <w:jc w:val="center"/>
              <w:rPr>
                <w:rFonts w:hint="default" w:eastAsia="宋体" w:cs="Times New Roman"/>
                <w:color w:val="FF0000"/>
              </w:rPr>
            </w:pPr>
            <w:r>
              <w:rPr>
                <w:rFonts w:hint="default" w:ascii="宋体" w:hAnsi="宋体" w:eastAsia="宋体" w:cs="宋体"/>
                <w:kern w:val="0"/>
              </w:rPr>
              <mc:AlternateContent>
                <mc:Choice Requires="wps">
                  <w:drawing>
                    <wp:anchor distT="0" distB="0" distL="114300" distR="114300" simplePos="0" relativeHeight="251660288" behindDoc="0" locked="0" layoutInCell="1" allowOverlap="1">
                      <wp:simplePos x="0" y="0"/>
                      <wp:positionH relativeFrom="column">
                        <wp:posOffset>1096645</wp:posOffset>
                      </wp:positionH>
                      <wp:positionV relativeFrom="paragraph">
                        <wp:posOffset>1452880</wp:posOffset>
                      </wp:positionV>
                      <wp:extent cx="2013585" cy="2465070"/>
                      <wp:effectExtent l="4445" t="4445" r="363220" b="921385"/>
                      <wp:wrapNone/>
                      <wp:docPr id="2" name="自选图形 6"/>
                      <wp:cNvGraphicFramePr/>
                      <a:graphic xmlns:a="http://schemas.openxmlformats.org/drawingml/2006/main">
                        <a:graphicData uri="http://schemas.microsoft.com/office/word/2010/wordprocessingShape">
                          <wps:wsp>
                            <wps:cNvSpPr/>
                            <wps:spPr>
                              <a:xfrm>
                                <a:off x="0" y="0"/>
                                <a:ext cx="2013585" cy="2465070"/>
                              </a:xfrm>
                              <a:prstGeom prst="wedgeRoundRectCallout">
                                <a:avLst>
                                  <a:gd name="adj1" fmla="val 66574"/>
                                  <a:gd name="adj2" fmla="val 86208"/>
                                  <a:gd name="adj3" fmla="val 16667"/>
                                </a:avLst>
                              </a:prstGeom>
                              <a:noFill/>
                              <a:ln w="9525" cap="flat" cmpd="sng">
                                <a:solidFill>
                                  <a:srgbClr val="000000"/>
                                </a:solidFill>
                                <a:prstDash val="solid"/>
                                <a:miter/>
                                <a:headEnd type="none" w="med" len="med"/>
                                <a:tailEnd type="none" w="med" len="med"/>
                              </a:ln>
                            </wps:spPr>
                            <wps:txbx>
                              <w:txbxContent>
                                <w:p w14:paraId="4119149F">
                                  <w:pPr>
                                    <w:ind w:firstLine="0" w:firstLineChars="0"/>
                                  </w:pPr>
                                  <w:r>
                                    <w:drawing>
                                      <wp:inline distT="0" distB="0" distL="114300" distR="114300">
                                        <wp:extent cx="1687830" cy="2103120"/>
                                        <wp:effectExtent l="0" t="0" r="762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1687830" cy="2103120"/>
                                                </a:xfrm>
                                                <a:prstGeom prst="rect">
                                                  <a:avLst/>
                                                </a:prstGeom>
                                                <a:noFill/>
                                                <a:ln>
                                                  <a:noFill/>
                                                </a:ln>
                                              </pic:spPr>
                                            </pic:pic>
                                          </a:graphicData>
                                        </a:graphic>
                                      </wp:inline>
                                    </w:drawing>
                                  </w:r>
                                </w:p>
                              </w:txbxContent>
                            </wps:txbx>
                            <wps:bodyPr wrap="none" upright="1">
                              <a:spAutoFit/>
                            </wps:bodyPr>
                          </wps:wsp>
                        </a:graphicData>
                      </a:graphic>
                    </wp:anchor>
                  </w:drawing>
                </mc:Choice>
                <mc:Fallback>
                  <w:pict>
                    <v:shape id="自选图形 6" o:spid="_x0000_s1026" o:spt="62" type="#_x0000_t62" style="position:absolute;left:0pt;margin-left:86.35pt;margin-top:114.4pt;height:194.1pt;width:158.55pt;mso-wrap-style:none;z-index:251660288;mso-width-relative:page;mso-height-relative:page;" filled="f" stroked="t" coordsize="21600,21600" o:gfxdata="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JBDqdoAAAAL&#10;AQAADwAAAAAAAAABACAAAAAiAAAAZHJzL2Rvd25yZXYueG1sUEsBAhQAFAAAAAgAh07iQBhU4m9T&#10;AgAAswQAAA4AAAAAAAAAAQAgAAAAKQEAAGRycy9lMm9Eb2MueG1sUEsFBgAAAAAGAAYAWQEAAO4F&#10;AAAAAA==&#10;" adj="25180,29421,14400">
                      <v:fill on="f" focussize="0,0"/>
                      <v:stroke color="#000000" joinstyle="miter"/>
                      <v:imagedata o:title=""/>
                      <o:lock v:ext="edit" aspectratio="f"/>
                      <v:textbox style="mso-fit-shape-to-text:t;">
                        <w:txbxContent>
                          <w:p w14:paraId="4119149F">
                            <w:pPr>
                              <w:ind w:firstLine="0" w:firstLineChars="0"/>
                            </w:pPr>
                            <w:r>
                              <w:drawing>
                                <wp:inline distT="0" distB="0" distL="114300" distR="114300">
                                  <wp:extent cx="1687830" cy="2103120"/>
                                  <wp:effectExtent l="0" t="0" r="762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1687830" cy="2103120"/>
                                          </a:xfrm>
                                          <a:prstGeom prst="rect">
                                            <a:avLst/>
                                          </a:prstGeom>
                                          <a:noFill/>
                                          <a:ln>
                                            <a:noFill/>
                                          </a:ln>
                                        </pic:spPr>
                                      </pic:pic>
                                    </a:graphicData>
                                  </a:graphic>
                                </wp:inline>
                              </w:drawing>
                            </w:r>
                          </w:p>
                        </w:txbxContent>
                      </v:textbox>
                    </v:shape>
                  </w:pict>
                </mc:Fallback>
              </mc:AlternateContent>
            </w:r>
            <w:r>
              <w:rPr>
                <w:rFonts w:hint="default" w:ascii="宋体" w:hAnsi="宋体" w:eastAsia="宋体" w:cs="宋体"/>
                <w:kern w:val="0"/>
              </w:rPr>
              <w:drawing>
                <wp:inline distT="0" distB="0" distL="114300" distR="114300">
                  <wp:extent cx="5189855" cy="6844030"/>
                  <wp:effectExtent l="0" t="0" r="10795" b="13970"/>
                  <wp:docPr id="10" name="图片 7" descr="IMG_20250416_12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0250416_122348"/>
                          <pic:cNvPicPr>
                            <a:picLocks noChangeAspect="1"/>
                          </pic:cNvPicPr>
                        </pic:nvPicPr>
                        <pic:blipFill>
                          <a:blip r:embed="rId22"/>
                          <a:stretch>
                            <a:fillRect/>
                          </a:stretch>
                        </pic:blipFill>
                        <pic:spPr>
                          <a:xfrm>
                            <a:off x="0" y="0"/>
                            <a:ext cx="5189855" cy="6844030"/>
                          </a:xfrm>
                          <a:prstGeom prst="rect">
                            <a:avLst/>
                          </a:prstGeom>
                          <a:noFill/>
                          <a:ln>
                            <a:noFill/>
                          </a:ln>
                        </pic:spPr>
                      </pic:pic>
                    </a:graphicData>
                  </a:graphic>
                </wp:inline>
              </w:drawing>
            </w:r>
            <w:r>
              <w:rPr>
                <w:rFonts w:hint="default"/>
              </w:rPr>
              <w:commentReference w:id="1"/>
            </w:r>
          </w:p>
        </w:tc>
      </w:tr>
    </w:tbl>
    <w:p w14:paraId="10A7C0FB">
      <w:pPr>
        <w:adjustRightInd/>
        <w:snapToGrid/>
        <w:ind w:firstLine="480"/>
        <w:outlineLvl w:val="2"/>
        <w:rPr>
          <w:rFonts w:eastAsia="宋体"/>
        </w:rPr>
      </w:pPr>
      <w:bookmarkStart w:id="51" w:name="_Toc12274"/>
      <w:r>
        <w:rPr>
          <w:rFonts w:hint="eastAsia" w:eastAsia="宋体"/>
        </w:rPr>
        <w:t>3</w:t>
      </w:r>
      <w:r>
        <w:rPr>
          <w:rFonts w:eastAsia="宋体"/>
        </w:rPr>
        <w:t>.2.3</w:t>
      </w:r>
      <w:r>
        <w:rPr>
          <w:rFonts w:hint="eastAsia" w:eastAsia="宋体"/>
        </w:rPr>
        <w:t>张贴</w:t>
      </w:r>
      <w:bookmarkEnd w:id="51"/>
    </w:p>
    <w:p w14:paraId="1786C332">
      <w:pPr>
        <w:pStyle w:val="13"/>
        <w:widowControl/>
        <w:adjustRightInd/>
        <w:snapToGrid/>
        <w:spacing w:before="0" w:beforeAutospacing="0" w:after="0" w:afterAutospacing="0"/>
        <w:ind w:firstLine="480"/>
        <w:jc w:val="both"/>
        <w:rPr>
          <w:rFonts w:eastAsia="宋体"/>
        </w:rPr>
      </w:pPr>
      <w:r>
        <w:rPr>
          <w:rFonts w:hint="eastAsia" w:eastAsia="宋体"/>
        </w:rPr>
        <w:t>环境影响报告书征求意见稿公示期间，建设单位在建设项目所在地公众易于知悉的场所张贴了公告，张贴公告的时间为202</w:t>
      </w:r>
      <w:r>
        <w:rPr>
          <w:rFonts w:eastAsia="宋体"/>
        </w:rPr>
        <w:t>5</w:t>
      </w:r>
      <w:r>
        <w:rPr>
          <w:rFonts w:hint="eastAsia" w:eastAsia="宋体"/>
        </w:rPr>
        <w:t>年</w:t>
      </w:r>
      <w:r>
        <w:rPr>
          <w:rFonts w:hint="eastAsia" w:eastAsia="宋体"/>
          <w:lang w:val="en-US" w:eastAsia="zh-CN"/>
        </w:rPr>
        <w:t>9</w:t>
      </w:r>
      <w:r>
        <w:rPr>
          <w:rFonts w:hint="eastAsia" w:eastAsia="宋体"/>
        </w:rPr>
        <w:t>月</w:t>
      </w:r>
      <w:r>
        <w:rPr>
          <w:rFonts w:hint="eastAsia" w:eastAsia="宋体"/>
          <w:lang w:val="en-US" w:eastAsia="zh-CN"/>
        </w:rPr>
        <w:t>2</w:t>
      </w:r>
      <w:r>
        <w:rPr>
          <w:rFonts w:eastAsia="宋体"/>
        </w:rPr>
        <w:t>8</w:t>
      </w:r>
      <w:r>
        <w:rPr>
          <w:rFonts w:hint="eastAsia" w:eastAsia="宋体"/>
        </w:rPr>
        <w:t>日至202</w:t>
      </w:r>
      <w:r>
        <w:rPr>
          <w:rFonts w:eastAsia="宋体"/>
        </w:rPr>
        <w:t>5</w:t>
      </w:r>
      <w:r>
        <w:rPr>
          <w:rFonts w:hint="eastAsia" w:eastAsia="宋体"/>
        </w:rPr>
        <w:t>年</w:t>
      </w:r>
      <w:r>
        <w:rPr>
          <w:rFonts w:hint="eastAsia" w:eastAsia="宋体"/>
          <w:lang w:val="en-US" w:eastAsia="zh-CN"/>
        </w:rPr>
        <w:t>10</w:t>
      </w:r>
      <w:r>
        <w:rPr>
          <w:rFonts w:hint="eastAsia" w:eastAsia="宋体"/>
        </w:rPr>
        <w:t>月</w:t>
      </w:r>
      <w:r>
        <w:rPr>
          <w:rFonts w:hint="eastAsia" w:eastAsia="宋体"/>
          <w:lang w:val="en-US" w:eastAsia="zh-CN"/>
        </w:rPr>
        <w:t>15</w:t>
      </w:r>
      <w:r>
        <w:rPr>
          <w:rFonts w:hint="eastAsia" w:eastAsia="宋体"/>
        </w:rPr>
        <w:t>日，公开期限不少于10个工作日。</w:t>
      </w:r>
    </w:p>
    <w:p w14:paraId="0547AA8E">
      <w:pPr>
        <w:pStyle w:val="13"/>
        <w:snapToGrid/>
        <w:spacing w:before="0" w:beforeAutospacing="0" w:after="0" w:afterAutospacing="0"/>
        <w:ind w:firstLine="480"/>
        <w:jc w:val="both"/>
        <w:rPr>
          <w:rFonts w:eastAsia="宋体"/>
        </w:rPr>
      </w:pPr>
      <w:r>
        <w:rPr>
          <w:rFonts w:hint="eastAsia" w:eastAsia="宋体"/>
        </w:rPr>
        <w:t>张贴区域选取符合性分析：我单位（建设单位：</w:t>
      </w:r>
      <w:r>
        <w:rPr>
          <w:rFonts w:hint="eastAsia" w:eastAsia="宋体"/>
          <w:lang w:eastAsia="zh-CN"/>
        </w:rPr>
        <w:t>茵梦达（天津）驱动技术有限公司</w:t>
      </w:r>
      <w:r>
        <w:rPr>
          <w:rFonts w:hint="eastAsia" w:eastAsia="宋体"/>
        </w:rPr>
        <w:t>）在建设项目所在地公众易于知悉的场所张贴了公告，张贴位置为评价范围内公众易于知悉的场所，</w:t>
      </w:r>
      <w:commentRangeStart w:id="2"/>
      <w:r>
        <w:rPr>
          <w:rFonts w:hint="eastAsia" w:eastAsia="宋体"/>
        </w:rPr>
        <w:t>如小区公示栏、学校出入口等</w:t>
      </w:r>
      <w:commentRangeEnd w:id="2"/>
      <w:r>
        <w:commentReference w:id="2"/>
      </w:r>
      <w:r>
        <w:rPr>
          <w:rFonts w:hint="eastAsia" w:eastAsia="宋体"/>
        </w:rPr>
        <w:t>。因此，本次张贴公告区域选择符合《环境影响评价公众参与办法》中第十一条“（三）通过在建设项目所在地公众易于知悉的场所张贴公告的方式公开，且持续公开期限不得少于10个工作日”的相关规定。</w:t>
      </w:r>
    </w:p>
    <w:p w14:paraId="60A5747E">
      <w:pPr>
        <w:pStyle w:val="13"/>
        <w:widowControl/>
        <w:adjustRightInd/>
        <w:snapToGrid/>
        <w:spacing w:before="0" w:beforeAutospacing="0" w:after="0" w:afterAutospacing="0"/>
        <w:ind w:firstLine="480"/>
        <w:jc w:val="both"/>
        <w:rPr>
          <w:rFonts w:eastAsia="宋体"/>
        </w:rPr>
      </w:pPr>
      <w:r>
        <w:rPr>
          <w:rFonts w:hint="eastAsia" w:eastAsia="宋体"/>
        </w:rPr>
        <w:t>张贴公告的现场照片如下图。</w:t>
      </w:r>
      <w:r>
        <w:commentReference w:id="3"/>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8"/>
        <w:gridCol w:w="4304"/>
      </w:tblGrid>
      <w:tr w14:paraId="055F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281E036">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540000" cy="1980565"/>
                  <wp:effectExtent l="0" t="0" r="1270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2540000" cy="1980565"/>
                          </a:xfrm>
                          <a:prstGeom prst="rect">
                            <a:avLst/>
                          </a:prstGeom>
                          <a:noFill/>
                          <a:ln>
                            <a:noFill/>
                          </a:ln>
                        </pic:spPr>
                      </pic:pic>
                    </a:graphicData>
                  </a:graphic>
                </wp:inline>
              </w:drawing>
            </w:r>
          </w:p>
        </w:tc>
        <w:tc>
          <w:tcPr>
            <w:tcW w:w="0" w:type="auto"/>
            <w:noWrap w:val="0"/>
            <w:vAlign w:val="center"/>
          </w:tcPr>
          <w:p w14:paraId="66F856FF">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660650" cy="1989455"/>
                  <wp:effectExtent l="0" t="0" r="635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2660650" cy="1989455"/>
                          </a:xfrm>
                          <a:prstGeom prst="rect">
                            <a:avLst/>
                          </a:prstGeom>
                          <a:noFill/>
                          <a:ln>
                            <a:noFill/>
                          </a:ln>
                        </pic:spPr>
                      </pic:pic>
                    </a:graphicData>
                  </a:graphic>
                </wp:inline>
              </w:drawing>
            </w:r>
          </w:p>
        </w:tc>
      </w:tr>
      <w:tr w14:paraId="69E8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F05A11D">
            <w:pPr>
              <w:pStyle w:val="13"/>
              <w:keepNext w:val="0"/>
              <w:keepLines w:val="0"/>
              <w:widowControl/>
              <w:suppressLineNumbers w:val="0"/>
              <w:adjustRightInd/>
              <w:snapToGrid/>
              <w:spacing w:before="0" w:beforeAutospacing="0" w:after="0" w:afterAutospacing="0" w:line="240" w:lineRule="auto"/>
              <w:ind w:firstLine="0" w:firstLineChars="0"/>
              <w:jc w:val="center"/>
              <w:rPr>
                <w:rFonts w:hint="eastAsia" w:eastAsia="宋体" w:cs="Times New Roman"/>
                <w:b/>
                <w:bCs/>
              </w:rPr>
            </w:pPr>
            <w:r>
              <w:rPr>
                <w:rFonts w:hint="eastAsia" w:eastAsia="宋体" w:cs="Times New Roman"/>
                <w:b/>
                <w:bCs/>
              </w:rPr>
              <w:t>兴华里</w:t>
            </w:r>
          </w:p>
        </w:tc>
        <w:tc>
          <w:tcPr>
            <w:tcW w:w="0" w:type="auto"/>
            <w:noWrap w:val="0"/>
            <w:vAlign w:val="center"/>
          </w:tcPr>
          <w:p w14:paraId="47E2BFB4">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大港第八中学</w:t>
            </w:r>
          </w:p>
        </w:tc>
      </w:tr>
      <w:tr w14:paraId="5C73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74CAB33">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593975" cy="2283460"/>
                  <wp:effectExtent l="0" t="0" r="15875" b="25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5"/>
                          <a:stretch>
                            <a:fillRect/>
                          </a:stretch>
                        </pic:blipFill>
                        <pic:spPr>
                          <a:xfrm>
                            <a:off x="0" y="0"/>
                            <a:ext cx="2593975" cy="2283460"/>
                          </a:xfrm>
                          <a:prstGeom prst="rect">
                            <a:avLst/>
                          </a:prstGeom>
                          <a:noFill/>
                          <a:ln>
                            <a:noFill/>
                          </a:ln>
                        </pic:spPr>
                      </pic:pic>
                    </a:graphicData>
                  </a:graphic>
                </wp:inline>
              </w:drawing>
            </w:r>
          </w:p>
        </w:tc>
        <w:tc>
          <w:tcPr>
            <w:tcW w:w="0" w:type="auto"/>
            <w:noWrap w:val="0"/>
            <w:vAlign w:val="center"/>
          </w:tcPr>
          <w:p w14:paraId="150C337C">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454275" cy="2301240"/>
                  <wp:effectExtent l="0" t="0" r="3175"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6"/>
                          <a:stretch>
                            <a:fillRect/>
                          </a:stretch>
                        </pic:blipFill>
                        <pic:spPr>
                          <a:xfrm>
                            <a:off x="0" y="0"/>
                            <a:ext cx="2454275" cy="2301240"/>
                          </a:xfrm>
                          <a:prstGeom prst="rect">
                            <a:avLst/>
                          </a:prstGeom>
                          <a:noFill/>
                          <a:ln>
                            <a:noFill/>
                          </a:ln>
                        </pic:spPr>
                      </pic:pic>
                    </a:graphicData>
                  </a:graphic>
                </wp:inline>
              </w:drawing>
            </w:r>
          </w:p>
        </w:tc>
      </w:tr>
      <w:tr w14:paraId="1274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80C657D">
            <w:pPr>
              <w:pStyle w:val="13"/>
              <w:keepNext w:val="0"/>
              <w:keepLines w:val="0"/>
              <w:widowControl/>
              <w:suppressLineNumbers w:val="0"/>
              <w:adjustRightInd/>
              <w:snapToGrid/>
              <w:spacing w:before="0" w:beforeAutospacing="0" w:after="0" w:afterAutospacing="0" w:line="240" w:lineRule="auto"/>
              <w:ind w:firstLine="0" w:firstLineChars="0"/>
              <w:jc w:val="center"/>
              <w:rPr>
                <w:rFonts w:hint="eastAsia" w:eastAsia="宋体" w:cs="Times New Roman"/>
                <w:b/>
                <w:bCs/>
              </w:rPr>
            </w:pPr>
            <w:r>
              <w:rPr>
                <w:rFonts w:hint="eastAsia" w:eastAsia="宋体" w:cs="Times New Roman"/>
                <w:b/>
                <w:bCs/>
              </w:rPr>
              <w:t>大港第七中学</w:t>
            </w:r>
          </w:p>
        </w:tc>
        <w:tc>
          <w:tcPr>
            <w:tcW w:w="0" w:type="auto"/>
            <w:noWrap w:val="0"/>
            <w:vAlign w:val="center"/>
          </w:tcPr>
          <w:p w14:paraId="446FEB48">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大港社区医院</w:t>
            </w:r>
          </w:p>
        </w:tc>
      </w:tr>
      <w:tr w14:paraId="4A34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FCA6571">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632710" cy="1991995"/>
                  <wp:effectExtent l="0" t="0" r="15240" b="825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7"/>
                          <a:stretch>
                            <a:fillRect/>
                          </a:stretch>
                        </pic:blipFill>
                        <pic:spPr>
                          <a:xfrm>
                            <a:off x="0" y="0"/>
                            <a:ext cx="2632710" cy="1991995"/>
                          </a:xfrm>
                          <a:prstGeom prst="rect">
                            <a:avLst/>
                          </a:prstGeom>
                          <a:noFill/>
                          <a:ln>
                            <a:noFill/>
                          </a:ln>
                        </pic:spPr>
                      </pic:pic>
                    </a:graphicData>
                  </a:graphic>
                </wp:inline>
              </w:drawing>
            </w:r>
          </w:p>
        </w:tc>
        <w:tc>
          <w:tcPr>
            <w:tcW w:w="0" w:type="auto"/>
            <w:noWrap w:val="0"/>
            <w:vAlign w:val="center"/>
          </w:tcPr>
          <w:p w14:paraId="3CA68CEB">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536190" cy="2008505"/>
                  <wp:effectExtent l="0" t="0" r="165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8"/>
                          <a:stretch>
                            <a:fillRect/>
                          </a:stretch>
                        </pic:blipFill>
                        <pic:spPr>
                          <a:xfrm>
                            <a:off x="0" y="0"/>
                            <a:ext cx="2536190" cy="2008505"/>
                          </a:xfrm>
                          <a:prstGeom prst="rect">
                            <a:avLst/>
                          </a:prstGeom>
                          <a:noFill/>
                          <a:ln>
                            <a:noFill/>
                          </a:ln>
                        </pic:spPr>
                      </pic:pic>
                    </a:graphicData>
                  </a:graphic>
                </wp:inline>
              </w:drawing>
            </w:r>
          </w:p>
        </w:tc>
      </w:tr>
      <w:tr w14:paraId="001F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0C4339E">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大港实验中学</w:t>
            </w:r>
          </w:p>
        </w:tc>
        <w:tc>
          <w:tcPr>
            <w:tcW w:w="0" w:type="auto"/>
            <w:noWrap w:val="0"/>
            <w:vAlign w:val="center"/>
          </w:tcPr>
          <w:p w14:paraId="0DB58359">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大港英语实验小学</w:t>
            </w:r>
          </w:p>
        </w:tc>
      </w:tr>
      <w:tr w14:paraId="24AA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6F652B0">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526030" cy="2115820"/>
                  <wp:effectExtent l="0" t="0" r="7620" b="177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9"/>
                          <a:stretch>
                            <a:fillRect/>
                          </a:stretch>
                        </pic:blipFill>
                        <pic:spPr>
                          <a:xfrm>
                            <a:off x="0" y="0"/>
                            <a:ext cx="2526030" cy="2115820"/>
                          </a:xfrm>
                          <a:prstGeom prst="rect">
                            <a:avLst/>
                          </a:prstGeom>
                          <a:noFill/>
                          <a:ln>
                            <a:noFill/>
                          </a:ln>
                        </pic:spPr>
                      </pic:pic>
                    </a:graphicData>
                  </a:graphic>
                </wp:inline>
              </w:drawing>
            </w:r>
          </w:p>
        </w:tc>
        <w:tc>
          <w:tcPr>
            <w:tcW w:w="0" w:type="auto"/>
            <w:noWrap w:val="0"/>
            <w:vAlign w:val="center"/>
          </w:tcPr>
          <w:p w14:paraId="4CB9EE96">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650490" cy="2051685"/>
                  <wp:effectExtent l="0" t="0" r="16510"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0"/>
                          <a:stretch>
                            <a:fillRect/>
                          </a:stretch>
                        </pic:blipFill>
                        <pic:spPr>
                          <a:xfrm>
                            <a:off x="0" y="0"/>
                            <a:ext cx="2650490" cy="2051685"/>
                          </a:xfrm>
                          <a:prstGeom prst="rect">
                            <a:avLst/>
                          </a:prstGeom>
                          <a:noFill/>
                          <a:ln>
                            <a:noFill/>
                          </a:ln>
                        </pic:spPr>
                      </pic:pic>
                    </a:graphicData>
                  </a:graphic>
                </wp:inline>
              </w:drawing>
            </w:r>
          </w:p>
        </w:tc>
      </w:tr>
      <w:tr w14:paraId="14FB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6767A16">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开元里</w:t>
            </w:r>
          </w:p>
        </w:tc>
        <w:tc>
          <w:tcPr>
            <w:tcW w:w="0" w:type="auto"/>
            <w:noWrap w:val="0"/>
            <w:vAlign w:val="center"/>
          </w:tcPr>
          <w:p w14:paraId="254BCE96">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六合里</w:t>
            </w:r>
          </w:p>
        </w:tc>
      </w:tr>
      <w:tr w14:paraId="6704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F62C215">
            <w:pPr>
              <w:pStyle w:val="13"/>
              <w:keepNext w:val="0"/>
              <w:keepLines w:val="0"/>
              <w:widowControl/>
              <w:suppressLineNumbers w:val="0"/>
              <w:adjustRightInd/>
              <w:snapToGrid/>
              <w:spacing w:before="0" w:beforeAutospacing="0" w:after="0" w:afterAutospacing="0" w:line="240" w:lineRule="auto"/>
              <w:ind w:firstLine="0" w:firstLineChars="0"/>
              <w:jc w:val="center"/>
              <w:rPr>
                <w:rFonts w:hint="eastAsia" w:eastAsia="宋体" w:cs="Times New Roman"/>
                <w:b/>
                <w:bCs/>
              </w:rPr>
            </w:pPr>
            <w:r>
              <w:rPr>
                <w:rFonts w:hint="default" w:cs="Times New Roman"/>
              </w:rPr>
              <w:drawing>
                <wp:inline distT="0" distB="0" distL="114300" distR="114300">
                  <wp:extent cx="2543810" cy="2273935"/>
                  <wp:effectExtent l="0" t="0" r="889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1"/>
                          <a:stretch>
                            <a:fillRect/>
                          </a:stretch>
                        </pic:blipFill>
                        <pic:spPr>
                          <a:xfrm>
                            <a:off x="0" y="0"/>
                            <a:ext cx="2543810" cy="2273935"/>
                          </a:xfrm>
                          <a:prstGeom prst="rect">
                            <a:avLst/>
                          </a:prstGeom>
                          <a:noFill/>
                          <a:ln>
                            <a:noFill/>
                          </a:ln>
                        </pic:spPr>
                      </pic:pic>
                    </a:graphicData>
                  </a:graphic>
                </wp:inline>
              </w:drawing>
            </w:r>
          </w:p>
        </w:tc>
        <w:tc>
          <w:tcPr>
            <w:tcW w:w="0" w:type="auto"/>
            <w:noWrap w:val="0"/>
            <w:vAlign w:val="center"/>
          </w:tcPr>
          <w:p w14:paraId="0AD75BE1">
            <w:pPr>
              <w:pStyle w:val="13"/>
              <w:keepNext w:val="0"/>
              <w:keepLines w:val="0"/>
              <w:widowControl/>
              <w:suppressLineNumbers w:val="0"/>
              <w:adjustRightInd/>
              <w:snapToGrid/>
              <w:spacing w:before="0" w:beforeAutospacing="0" w:after="0" w:afterAutospacing="0" w:line="240" w:lineRule="auto"/>
              <w:ind w:firstLine="0" w:firstLineChars="0"/>
              <w:jc w:val="center"/>
              <w:rPr>
                <w:rFonts w:hint="eastAsia" w:eastAsia="宋体" w:cs="Times New Roman"/>
                <w:b/>
                <w:bCs/>
              </w:rPr>
            </w:pPr>
            <w:r>
              <w:rPr>
                <w:rFonts w:hint="default" w:cs="Times New Roman"/>
              </w:rPr>
              <w:drawing>
                <wp:inline distT="0" distB="0" distL="114300" distR="114300">
                  <wp:extent cx="2427605" cy="2113915"/>
                  <wp:effectExtent l="0" t="0" r="10795" b="6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2"/>
                          <a:stretch>
                            <a:fillRect/>
                          </a:stretch>
                        </pic:blipFill>
                        <pic:spPr>
                          <a:xfrm>
                            <a:off x="0" y="0"/>
                            <a:ext cx="2427605" cy="2113915"/>
                          </a:xfrm>
                          <a:prstGeom prst="rect">
                            <a:avLst/>
                          </a:prstGeom>
                          <a:noFill/>
                          <a:ln>
                            <a:noFill/>
                          </a:ln>
                        </pic:spPr>
                      </pic:pic>
                    </a:graphicData>
                  </a:graphic>
                </wp:inline>
              </w:drawing>
            </w:r>
          </w:p>
        </w:tc>
      </w:tr>
      <w:tr w14:paraId="1532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50E8D16">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cs="Times New Roman"/>
              </w:rPr>
            </w:pPr>
            <w:r>
              <w:rPr>
                <w:rFonts w:hint="eastAsia" w:eastAsia="宋体" w:cs="Times New Roman"/>
                <w:b/>
                <w:bCs/>
              </w:rPr>
              <w:t>六合里公示栏</w:t>
            </w:r>
          </w:p>
        </w:tc>
        <w:tc>
          <w:tcPr>
            <w:tcW w:w="0" w:type="auto"/>
            <w:noWrap w:val="0"/>
            <w:vAlign w:val="center"/>
          </w:tcPr>
          <w:p w14:paraId="2B0D3A36">
            <w:pPr>
              <w:pStyle w:val="13"/>
              <w:keepNext w:val="0"/>
              <w:keepLines w:val="0"/>
              <w:widowControl/>
              <w:suppressLineNumbers w:val="0"/>
              <w:adjustRightInd/>
              <w:snapToGrid/>
              <w:spacing w:before="0" w:beforeAutospacing="0" w:after="0" w:afterAutospacing="0" w:line="240" w:lineRule="auto"/>
              <w:ind w:firstLine="0" w:firstLineChars="0"/>
              <w:jc w:val="center"/>
              <w:rPr>
                <w:rFonts w:hint="eastAsia" w:eastAsia="宋体" w:cs="Times New Roman"/>
                <w:b/>
                <w:bCs/>
              </w:rPr>
            </w:pPr>
            <w:r>
              <w:rPr>
                <w:rFonts w:hint="eastAsia" w:eastAsia="宋体" w:cs="Times New Roman"/>
                <w:b/>
                <w:bCs/>
              </w:rPr>
              <w:t>七邻里</w:t>
            </w:r>
          </w:p>
        </w:tc>
      </w:tr>
      <w:tr w14:paraId="1F78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9FFB1EF">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588260" cy="1915160"/>
                  <wp:effectExtent l="0" t="0" r="254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3"/>
                          <a:stretch>
                            <a:fillRect/>
                          </a:stretch>
                        </pic:blipFill>
                        <pic:spPr>
                          <a:xfrm>
                            <a:off x="0" y="0"/>
                            <a:ext cx="2588260" cy="1915160"/>
                          </a:xfrm>
                          <a:prstGeom prst="rect">
                            <a:avLst/>
                          </a:prstGeom>
                          <a:noFill/>
                          <a:ln>
                            <a:noFill/>
                          </a:ln>
                        </pic:spPr>
                      </pic:pic>
                    </a:graphicData>
                  </a:graphic>
                </wp:inline>
              </w:drawing>
            </w:r>
          </w:p>
        </w:tc>
        <w:tc>
          <w:tcPr>
            <w:tcW w:w="0" w:type="auto"/>
            <w:noWrap w:val="0"/>
            <w:vAlign w:val="center"/>
          </w:tcPr>
          <w:p w14:paraId="09A016B6">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540635" cy="2047875"/>
                  <wp:effectExtent l="0" t="0" r="1206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4"/>
                          <a:stretch>
                            <a:fillRect/>
                          </a:stretch>
                        </pic:blipFill>
                        <pic:spPr>
                          <a:xfrm>
                            <a:off x="0" y="0"/>
                            <a:ext cx="2540635" cy="2047875"/>
                          </a:xfrm>
                          <a:prstGeom prst="rect">
                            <a:avLst/>
                          </a:prstGeom>
                          <a:noFill/>
                          <a:ln>
                            <a:noFill/>
                          </a:ln>
                        </pic:spPr>
                      </pic:pic>
                    </a:graphicData>
                  </a:graphic>
                </wp:inline>
              </w:drawing>
            </w:r>
          </w:p>
        </w:tc>
      </w:tr>
      <w:tr w14:paraId="444E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21F4019">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天津石化单身公寓</w:t>
            </w:r>
          </w:p>
        </w:tc>
        <w:tc>
          <w:tcPr>
            <w:tcW w:w="0" w:type="auto"/>
            <w:noWrap w:val="0"/>
            <w:vAlign w:val="center"/>
          </w:tcPr>
          <w:p w14:paraId="029CEADD">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前程里</w:t>
            </w:r>
          </w:p>
        </w:tc>
      </w:tr>
      <w:tr w14:paraId="1876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18143C3">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627630" cy="1941830"/>
                  <wp:effectExtent l="0" t="0" r="1270" b="12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5"/>
                          <a:stretch>
                            <a:fillRect/>
                          </a:stretch>
                        </pic:blipFill>
                        <pic:spPr>
                          <a:xfrm>
                            <a:off x="0" y="0"/>
                            <a:ext cx="2627630" cy="1941830"/>
                          </a:xfrm>
                          <a:prstGeom prst="rect">
                            <a:avLst/>
                          </a:prstGeom>
                          <a:noFill/>
                          <a:ln>
                            <a:noFill/>
                          </a:ln>
                        </pic:spPr>
                      </pic:pic>
                    </a:graphicData>
                  </a:graphic>
                </wp:inline>
              </w:drawing>
            </w:r>
          </w:p>
        </w:tc>
        <w:tc>
          <w:tcPr>
            <w:tcW w:w="0" w:type="auto"/>
            <w:noWrap w:val="0"/>
            <w:vAlign w:val="center"/>
          </w:tcPr>
          <w:p w14:paraId="12EB7C7B">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401570" cy="1974215"/>
                  <wp:effectExtent l="0" t="0" r="17780" b="698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6"/>
                          <a:stretch>
                            <a:fillRect/>
                          </a:stretch>
                        </pic:blipFill>
                        <pic:spPr>
                          <a:xfrm>
                            <a:off x="0" y="0"/>
                            <a:ext cx="2401570" cy="1974215"/>
                          </a:xfrm>
                          <a:prstGeom prst="rect">
                            <a:avLst/>
                          </a:prstGeom>
                          <a:noFill/>
                          <a:ln>
                            <a:noFill/>
                          </a:ln>
                        </pic:spPr>
                      </pic:pic>
                    </a:graphicData>
                  </a:graphic>
                </wp:inline>
              </w:drawing>
            </w:r>
          </w:p>
        </w:tc>
      </w:tr>
      <w:tr w14:paraId="583D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D172BDD">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前光里</w:t>
            </w:r>
          </w:p>
        </w:tc>
        <w:tc>
          <w:tcPr>
            <w:tcW w:w="0" w:type="auto"/>
            <w:noWrap w:val="0"/>
            <w:vAlign w:val="center"/>
          </w:tcPr>
          <w:p w14:paraId="438AF54F">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前光里南社区</w:t>
            </w:r>
          </w:p>
        </w:tc>
      </w:tr>
      <w:tr w14:paraId="4E56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95CED44">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622550" cy="2026920"/>
                  <wp:effectExtent l="0" t="0" r="6350" b="1143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7"/>
                          <a:stretch>
                            <a:fillRect/>
                          </a:stretch>
                        </pic:blipFill>
                        <pic:spPr>
                          <a:xfrm>
                            <a:off x="0" y="0"/>
                            <a:ext cx="2622550" cy="2026920"/>
                          </a:xfrm>
                          <a:prstGeom prst="rect">
                            <a:avLst/>
                          </a:prstGeom>
                          <a:noFill/>
                          <a:ln>
                            <a:noFill/>
                          </a:ln>
                        </pic:spPr>
                      </pic:pic>
                    </a:graphicData>
                  </a:graphic>
                </wp:inline>
              </w:drawing>
            </w:r>
          </w:p>
        </w:tc>
        <w:tc>
          <w:tcPr>
            <w:tcW w:w="0" w:type="auto"/>
            <w:noWrap w:val="0"/>
            <w:vAlign w:val="center"/>
          </w:tcPr>
          <w:p w14:paraId="5254CAC7">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489835" cy="2021205"/>
                  <wp:effectExtent l="0" t="0" r="5715" b="1714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8"/>
                          <a:stretch>
                            <a:fillRect/>
                          </a:stretch>
                        </pic:blipFill>
                        <pic:spPr>
                          <a:xfrm>
                            <a:off x="0" y="0"/>
                            <a:ext cx="2489835" cy="2021205"/>
                          </a:xfrm>
                          <a:prstGeom prst="rect">
                            <a:avLst/>
                          </a:prstGeom>
                          <a:noFill/>
                          <a:ln>
                            <a:noFill/>
                          </a:ln>
                        </pic:spPr>
                      </pic:pic>
                    </a:graphicData>
                  </a:graphic>
                </wp:inline>
              </w:drawing>
            </w:r>
          </w:p>
        </w:tc>
      </w:tr>
      <w:tr w14:paraId="787C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A05683F">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前进里</w:t>
            </w:r>
          </w:p>
        </w:tc>
        <w:tc>
          <w:tcPr>
            <w:tcW w:w="0" w:type="auto"/>
            <w:noWrap w:val="0"/>
            <w:vAlign w:val="center"/>
          </w:tcPr>
          <w:p w14:paraId="09D6C787">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荣华里</w:t>
            </w:r>
          </w:p>
        </w:tc>
      </w:tr>
      <w:tr w14:paraId="07BE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4E5F172">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599690" cy="2132965"/>
                  <wp:effectExtent l="0" t="0" r="10160" b="63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9"/>
                          <a:stretch>
                            <a:fillRect/>
                          </a:stretch>
                        </pic:blipFill>
                        <pic:spPr>
                          <a:xfrm>
                            <a:off x="0" y="0"/>
                            <a:ext cx="2599690" cy="2132965"/>
                          </a:xfrm>
                          <a:prstGeom prst="rect">
                            <a:avLst/>
                          </a:prstGeom>
                          <a:noFill/>
                          <a:ln>
                            <a:noFill/>
                          </a:ln>
                        </pic:spPr>
                      </pic:pic>
                    </a:graphicData>
                  </a:graphic>
                </wp:inline>
              </w:drawing>
            </w:r>
          </w:p>
        </w:tc>
        <w:tc>
          <w:tcPr>
            <w:tcW w:w="0" w:type="auto"/>
            <w:noWrap w:val="0"/>
            <w:vAlign w:val="center"/>
          </w:tcPr>
          <w:p w14:paraId="0EE1A60F">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704465" cy="2020570"/>
                  <wp:effectExtent l="0" t="0" r="635" b="1778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40"/>
                          <a:stretch>
                            <a:fillRect/>
                          </a:stretch>
                        </pic:blipFill>
                        <pic:spPr>
                          <a:xfrm>
                            <a:off x="0" y="0"/>
                            <a:ext cx="2704465" cy="2020570"/>
                          </a:xfrm>
                          <a:prstGeom prst="rect">
                            <a:avLst/>
                          </a:prstGeom>
                          <a:noFill/>
                          <a:ln>
                            <a:noFill/>
                          </a:ln>
                        </pic:spPr>
                      </pic:pic>
                    </a:graphicData>
                  </a:graphic>
                </wp:inline>
              </w:drawing>
            </w:r>
          </w:p>
        </w:tc>
      </w:tr>
      <w:tr w14:paraId="4843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D8F6A53">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胜利里</w:t>
            </w:r>
          </w:p>
        </w:tc>
        <w:tc>
          <w:tcPr>
            <w:tcW w:w="0" w:type="auto"/>
            <w:noWrap w:val="0"/>
            <w:vAlign w:val="center"/>
          </w:tcPr>
          <w:p w14:paraId="2930BA62">
            <w:pPr>
              <w:pStyle w:val="13"/>
              <w:keepNext w:val="0"/>
              <w:keepLines w:val="0"/>
              <w:widowControl/>
              <w:suppressLineNumbers w:val="0"/>
              <w:adjustRightInd/>
              <w:snapToGrid/>
              <w:spacing w:before="0" w:beforeAutospacing="0" w:after="0" w:afterAutospacing="0" w:line="240" w:lineRule="auto"/>
              <w:ind w:firstLine="0" w:firstLineChars="0"/>
              <w:jc w:val="center"/>
              <w:rPr>
                <w:rFonts w:hint="eastAsia" w:eastAsia="宋体" w:cs="Times New Roman"/>
                <w:b/>
                <w:bCs/>
              </w:rPr>
            </w:pPr>
            <w:r>
              <w:rPr>
                <w:rFonts w:hint="eastAsia" w:eastAsia="宋体" w:cs="Times New Roman"/>
                <w:b/>
                <w:bCs/>
              </w:rPr>
              <w:t>双安里</w:t>
            </w:r>
          </w:p>
        </w:tc>
      </w:tr>
      <w:tr w14:paraId="04BC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7770141">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646045" cy="1956435"/>
                  <wp:effectExtent l="0" t="0" r="1905" b="571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1"/>
                          <a:stretch>
                            <a:fillRect/>
                          </a:stretch>
                        </pic:blipFill>
                        <pic:spPr>
                          <a:xfrm>
                            <a:off x="0" y="0"/>
                            <a:ext cx="2646045" cy="1956435"/>
                          </a:xfrm>
                          <a:prstGeom prst="rect">
                            <a:avLst/>
                          </a:prstGeom>
                          <a:noFill/>
                          <a:ln>
                            <a:noFill/>
                          </a:ln>
                        </pic:spPr>
                      </pic:pic>
                    </a:graphicData>
                  </a:graphic>
                </wp:inline>
              </w:drawing>
            </w:r>
          </w:p>
        </w:tc>
        <w:tc>
          <w:tcPr>
            <w:tcW w:w="0" w:type="auto"/>
            <w:noWrap w:val="0"/>
            <w:vAlign w:val="center"/>
          </w:tcPr>
          <w:p w14:paraId="6FA8AC65">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default" w:cs="Times New Roman"/>
              </w:rPr>
              <w:drawing>
                <wp:inline distT="0" distB="0" distL="114300" distR="114300">
                  <wp:extent cx="2509520" cy="1884045"/>
                  <wp:effectExtent l="0" t="0" r="5080" b="190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2"/>
                          <a:stretch>
                            <a:fillRect/>
                          </a:stretch>
                        </pic:blipFill>
                        <pic:spPr>
                          <a:xfrm>
                            <a:off x="0" y="0"/>
                            <a:ext cx="2509520" cy="1884045"/>
                          </a:xfrm>
                          <a:prstGeom prst="rect">
                            <a:avLst/>
                          </a:prstGeom>
                          <a:noFill/>
                          <a:ln>
                            <a:noFill/>
                          </a:ln>
                        </pic:spPr>
                      </pic:pic>
                    </a:graphicData>
                  </a:graphic>
                </wp:inline>
              </w:drawing>
            </w:r>
          </w:p>
        </w:tc>
      </w:tr>
      <w:tr w14:paraId="6015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BD8BE0B">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四化里</w:t>
            </w:r>
          </w:p>
        </w:tc>
        <w:tc>
          <w:tcPr>
            <w:tcW w:w="0" w:type="auto"/>
            <w:noWrap w:val="0"/>
            <w:vAlign w:val="center"/>
          </w:tcPr>
          <w:p w14:paraId="4987EF55">
            <w:pPr>
              <w:pStyle w:val="13"/>
              <w:keepNext w:val="0"/>
              <w:keepLines w:val="0"/>
              <w:widowControl/>
              <w:suppressLineNumbers w:val="0"/>
              <w:adjustRightInd/>
              <w:snapToGrid/>
              <w:spacing w:before="0" w:beforeAutospacing="0" w:after="0" w:afterAutospacing="0" w:line="240" w:lineRule="auto"/>
              <w:ind w:firstLine="0" w:firstLineChars="0"/>
              <w:jc w:val="center"/>
              <w:rPr>
                <w:rFonts w:hint="default" w:eastAsia="宋体" w:cs="Times New Roman"/>
                <w:b/>
                <w:bCs/>
              </w:rPr>
            </w:pPr>
            <w:r>
              <w:rPr>
                <w:rFonts w:hint="eastAsia" w:eastAsia="宋体" w:cs="Times New Roman"/>
                <w:b/>
                <w:bCs/>
              </w:rPr>
              <w:t>五方里</w:t>
            </w:r>
          </w:p>
        </w:tc>
      </w:tr>
    </w:tbl>
    <w:p w14:paraId="5C0FCF13">
      <w:pPr>
        <w:pStyle w:val="13"/>
        <w:widowControl/>
        <w:adjustRightInd/>
        <w:snapToGrid/>
        <w:spacing w:before="0" w:beforeAutospacing="0" w:after="0" w:afterAutospacing="0"/>
        <w:ind w:firstLine="0" w:firstLineChars="0"/>
        <w:outlineLvl w:val="1"/>
        <w:rPr>
          <w:rFonts w:eastAsia="宋体"/>
          <w:b/>
          <w:bCs/>
        </w:rPr>
      </w:pPr>
      <w:bookmarkStart w:id="52" w:name="_Toc29983"/>
      <w:bookmarkStart w:id="53" w:name="_Toc13591"/>
      <w:r>
        <w:rPr>
          <w:rFonts w:eastAsia="宋体"/>
          <w:b/>
          <w:bCs/>
        </w:rPr>
        <w:t>3.3查阅情况</w:t>
      </w:r>
      <w:bookmarkEnd w:id="52"/>
      <w:bookmarkEnd w:id="53"/>
    </w:p>
    <w:p w14:paraId="12BD149A">
      <w:pPr>
        <w:pStyle w:val="13"/>
        <w:widowControl/>
        <w:adjustRightInd/>
        <w:snapToGrid/>
        <w:spacing w:before="0" w:beforeAutospacing="0" w:after="0" w:afterAutospacing="0"/>
        <w:ind w:firstLine="480"/>
        <w:rPr>
          <w:rFonts w:eastAsia="宋体"/>
        </w:rPr>
      </w:pPr>
      <w:r>
        <w:rPr>
          <w:rFonts w:hint="eastAsia" w:eastAsia="宋体"/>
        </w:rPr>
        <w:t>环境影响报告书征求意见稿公示期间，可在</w:t>
      </w:r>
      <w:r>
        <w:rPr>
          <w:rFonts w:hint="eastAsia" w:eastAsia="宋体"/>
          <w:lang w:val="en-US" w:eastAsia="zh-CN"/>
        </w:rPr>
        <w:t>天津欣国环环保科技有限公司网站</w:t>
      </w:r>
      <w:r>
        <w:rPr>
          <w:rFonts w:hint="eastAsia" w:eastAsia="宋体"/>
        </w:rPr>
        <w:t>查阅电子版，同时在建设单位</w:t>
      </w:r>
      <w:r>
        <w:rPr>
          <w:rFonts w:hint="eastAsia" w:ascii="Times New Roman" w:hAnsi="Times New Roman" w:eastAsia="宋体"/>
        </w:rPr>
        <w:t>（</w:t>
      </w:r>
      <w:r>
        <w:rPr>
          <w:rFonts w:hint="eastAsia" w:ascii="Times New Roman" w:hAnsi="Times New Roman" w:eastAsia="宋体"/>
          <w:lang w:eastAsia="zh-CN"/>
        </w:rPr>
        <w:t>茵梦达（天津）驱动技术有限公司</w:t>
      </w:r>
      <w:r>
        <w:rPr>
          <w:rFonts w:hint="eastAsia" w:ascii="Times New Roman" w:hAnsi="Times New Roman" w:eastAsia="宋体"/>
        </w:rPr>
        <w:t>）留存了本项目环境影响报告书征求意见稿纸质版，</w:t>
      </w:r>
      <w:r>
        <w:rPr>
          <w:rFonts w:hint="eastAsia" w:eastAsia="宋体"/>
        </w:rPr>
        <w:t>供公众查阅。</w:t>
      </w:r>
    </w:p>
    <w:p w14:paraId="18FFE915">
      <w:pPr>
        <w:pStyle w:val="13"/>
        <w:widowControl/>
        <w:adjustRightInd/>
        <w:snapToGrid/>
        <w:spacing w:before="0" w:beforeAutospacing="0" w:after="0" w:afterAutospacing="0"/>
        <w:ind w:firstLine="480"/>
        <w:rPr>
          <w:rFonts w:hint="eastAsia" w:eastAsia="宋体"/>
          <w:b/>
          <w:bCs/>
        </w:rPr>
      </w:pPr>
      <w:r>
        <w:rPr>
          <w:rFonts w:hint="eastAsia" w:eastAsia="宋体"/>
        </w:rPr>
        <w:t>在环境影响报告书征求意见稿公示期间，没有公众前往建设单位查阅本项目环境影响报告书征求意见稿纸质文件。</w:t>
      </w:r>
    </w:p>
    <w:p w14:paraId="3D0347E3">
      <w:pPr>
        <w:pStyle w:val="13"/>
        <w:widowControl/>
        <w:adjustRightInd/>
        <w:snapToGrid/>
        <w:spacing w:before="0" w:beforeAutospacing="0" w:after="0" w:afterAutospacing="0"/>
        <w:ind w:firstLine="0" w:firstLineChars="0"/>
        <w:outlineLvl w:val="1"/>
        <w:rPr>
          <w:rFonts w:eastAsia="宋体"/>
          <w:b/>
          <w:bCs/>
        </w:rPr>
      </w:pPr>
      <w:bookmarkStart w:id="54" w:name="_Toc29095"/>
      <w:bookmarkStart w:id="55" w:name="_Toc28862"/>
      <w:r>
        <w:rPr>
          <w:rFonts w:eastAsia="宋体"/>
          <w:b/>
          <w:bCs/>
        </w:rPr>
        <w:t>3.4公众提出意见情况</w:t>
      </w:r>
      <w:bookmarkEnd w:id="54"/>
      <w:bookmarkEnd w:id="55"/>
    </w:p>
    <w:p w14:paraId="31927864">
      <w:pPr>
        <w:pStyle w:val="13"/>
        <w:widowControl/>
        <w:adjustRightInd/>
        <w:snapToGrid/>
        <w:spacing w:before="0" w:beforeAutospacing="0" w:after="0" w:afterAutospacing="0"/>
        <w:ind w:firstLine="480"/>
        <w:rPr>
          <w:rFonts w:eastAsia="宋体"/>
        </w:rPr>
      </w:pPr>
      <w:r>
        <w:rPr>
          <w:rFonts w:hint="eastAsia" w:eastAsia="宋体"/>
        </w:rPr>
        <w:t>本次环境影响报告书征求意见稿公示期间没有收到任何公众反馈意见。</w:t>
      </w:r>
    </w:p>
    <w:p w14:paraId="63C008B3">
      <w:pPr>
        <w:pStyle w:val="2"/>
        <w:snapToGrid/>
        <w:rPr>
          <w:rFonts w:eastAsia="宋体"/>
          <w:sz w:val="24"/>
          <w:szCs w:val="24"/>
        </w:rPr>
      </w:pPr>
      <w:bookmarkStart w:id="56" w:name="_Toc18137"/>
      <w:bookmarkStart w:id="57" w:name="_Toc8126"/>
      <w:r>
        <w:rPr>
          <w:rFonts w:eastAsia="宋体"/>
          <w:sz w:val="24"/>
          <w:szCs w:val="24"/>
        </w:rPr>
        <w:t>4其他公众参与情况</w:t>
      </w:r>
      <w:bookmarkEnd w:id="56"/>
      <w:bookmarkEnd w:id="57"/>
    </w:p>
    <w:p w14:paraId="1BEF5BF7">
      <w:pPr>
        <w:snapToGrid/>
        <w:ind w:firstLine="480"/>
        <w:rPr>
          <w:rFonts w:eastAsia="宋体"/>
        </w:rPr>
      </w:pPr>
      <w:r>
        <w:rPr>
          <w:rFonts w:hint="eastAsia" w:eastAsia="宋体"/>
        </w:rPr>
        <w:t>除以上所述情况外，我单位未采取其他形式的公众参与。</w:t>
      </w:r>
    </w:p>
    <w:p w14:paraId="11861F50">
      <w:pPr>
        <w:snapToGrid/>
        <w:ind w:firstLine="480"/>
        <w:rPr>
          <w:rFonts w:eastAsia="宋体"/>
        </w:rPr>
      </w:pPr>
      <w:r>
        <w:rPr>
          <w:rFonts w:eastAsia="宋体"/>
        </w:rPr>
        <w:t>《环境影响评价公众参与办法》（部令第4号）要求：“对环境影响方面公众质疑性意见多的建设项目，建设单位应当组织开展深度公众参与。”本项目未收到公众质疑性意见，因此，未开展深度公众参与。</w:t>
      </w:r>
    </w:p>
    <w:p w14:paraId="51BCC3B3">
      <w:pPr>
        <w:pStyle w:val="2"/>
        <w:snapToGrid/>
        <w:rPr>
          <w:rFonts w:eastAsia="宋体"/>
          <w:sz w:val="24"/>
          <w:szCs w:val="24"/>
        </w:rPr>
      </w:pPr>
      <w:bookmarkStart w:id="58" w:name="_Toc10831"/>
      <w:bookmarkStart w:id="59" w:name="_Toc29332"/>
      <w:r>
        <w:rPr>
          <w:rFonts w:eastAsia="宋体"/>
          <w:sz w:val="24"/>
          <w:szCs w:val="24"/>
        </w:rPr>
        <w:t>5公众意见处理情况</w:t>
      </w:r>
      <w:bookmarkEnd w:id="58"/>
      <w:bookmarkEnd w:id="59"/>
    </w:p>
    <w:p w14:paraId="75ADECD5">
      <w:pPr>
        <w:snapToGrid/>
        <w:ind w:firstLine="480"/>
        <w:rPr>
          <w:rFonts w:eastAsia="宋体"/>
        </w:rPr>
      </w:pPr>
      <w:r>
        <w:rPr>
          <w:rFonts w:eastAsia="宋体"/>
        </w:rPr>
        <w:t>（1）</w:t>
      </w:r>
      <w:r>
        <w:rPr>
          <w:rFonts w:hint="eastAsia" w:eastAsia="宋体"/>
        </w:rPr>
        <w:t>首次环境影响评价信息公开</w:t>
      </w:r>
      <w:r>
        <w:rPr>
          <w:rFonts w:eastAsia="宋体"/>
        </w:rPr>
        <w:t>结果</w:t>
      </w:r>
    </w:p>
    <w:p w14:paraId="686F7C7B">
      <w:pPr>
        <w:snapToGrid/>
        <w:ind w:firstLine="480"/>
        <w:rPr>
          <w:rFonts w:eastAsia="宋体"/>
        </w:rPr>
      </w:pPr>
      <w:r>
        <w:rPr>
          <w:rFonts w:hint="eastAsia" w:eastAsia="宋体"/>
        </w:rPr>
        <w:t>首次环境影响评价信息公开</w:t>
      </w:r>
      <w:r>
        <w:rPr>
          <w:rFonts w:eastAsia="宋体"/>
        </w:rPr>
        <w:t>期间</w:t>
      </w:r>
      <w:r>
        <w:rPr>
          <w:rFonts w:hint="eastAsia" w:eastAsia="宋体"/>
          <w:lang w:eastAsia="zh-CN"/>
        </w:rPr>
        <w:t>（202</w:t>
      </w:r>
      <w:r>
        <w:rPr>
          <w:rFonts w:hint="eastAsia" w:eastAsia="宋体"/>
          <w:lang w:val="en-US" w:eastAsia="zh-CN"/>
        </w:rPr>
        <w:t>4</w:t>
      </w:r>
      <w:r>
        <w:rPr>
          <w:rFonts w:hint="eastAsia" w:eastAsia="宋体"/>
          <w:lang w:eastAsia="zh-CN"/>
        </w:rPr>
        <w:t>年1</w:t>
      </w:r>
      <w:r>
        <w:rPr>
          <w:rFonts w:hint="eastAsia" w:eastAsia="宋体"/>
          <w:lang w:val="en-US" w:eastAsia="zh-CN"/>
        </w:rPr>
        <w:t>2</w:t>
      </w:r>
      <w:r>
        <w:rPr>
          <w:rFonts w:hint="eastAsia" w:eastAsia="宋体"/>
          <w:lang w:eastAsia="zh-CN"/>
        </w:rPr>
        <w:t>月</w:t>
      </w:r>
      <w:r>
        <w:rPr>
          <w:rFonts w:hint="eastAsia" w:eastAsia="宋体"/>
          <w:lang w:val="en-US" w:eastAsia="zh-CN"/>
        </w:rPr>
        <w:t>9</w:t>
      </w:r>
      <w:r>
        <w:rPr>
          <w:rFonts w:hint="eastAsia" w:eastAsia="宋体"/>
          <w:lang w:eastAsia="zh-CN"/>
        </w:rPr>
        <w:t>日</w:t>
      </w:r>
      <w:r>
        <w:rPr>
          <w:rFonts w:hint="eastAsia" w:eastAsia="宋体"/>
          <w:lang w:val="en-US" w:eastAsia="zh-CN"/>
        </w:rPr>
        <w:t>至2024年12月20日</w:t>
      </w:r>
      <w:r>
        <w:rPr>
          <w:rFonts w:hint="eastAsia" w:eastAsia="宋体"/>
          <w:lang w:eastAsia="zh-CN"/>
        </w:rPr>
        <w:t>）</w:t>
      </w:r>
      <w:r>
        <w:rPr>
          <w:rFonts w:hint="eastAsia" w:eastAsia="宋体"/>
        </w:rPr>
        <w:t>未收到任何与</w:t>
      </w:r>
      <w:r>
        <w:rPr>
          <w:rFonts w:eastAsia="宋体"/>
        </w:rPr>
        <w:t>本项目</w:t>
      </w:r>
      <w:r>
        <w:rPr>
          <w:rFonts w:hint="eastAsia" w:eastAsia="宋体"/>
        </w:rPr>
        <w:t>环评相关的公众</w:t>
      </w:r>
      <w:r>
        <w:rPr>
          <w:rFonts w:eastAsia="宋体"/>
        </w:rPr>
        <w:t>意见。</w:t>
      </w:r>
    </w:p>
    <w:p w14:paraId="220DCA7C">
      <w:pPr>
        <w:snapToGrid/>
        <w:ind w:firstLine="480"/>
        <w:rPr>
          <w:rFonts w:eastAsia="宋体"/>
        </w:rPr>
      </w:pPr>
      <w:r>
        <w:rPr>
          <w:rFonts w:eastAsia="宋体"/>
        </w:rPr>
        <w:t>（2）</w:t>
      </w:r>
      <w:r>
        <w:rPr>
          <w:rFonts w:hint="eastAsia" w:eastAsia="宋体"/>
        </w:rPr>
        <w:t>环境影响报告书征求意见稿信息公开</w:t>
      </w:r>
      <w:r>
        <w:rPr>
          <w:rFonts w:eastAsia="宋体"/>
        </w:rPr>
        <w:t>结果</w:t>
      </w:r>
    </w:p>
    <w:p w14:paraId="2C71E285">
      <w:pPr>
        <w:snapToGrid/>
        <w:ind w:firstLine="480"/>
        <w:rPr>
          <w:rFonts w:eastAsia="宋体"/>
        </w:rPr>
      </w:pPr>
      <w:r>
        <w:rPr>
          <w:rFonts w:hint="eastAsia" w:eastAsia="宋体"/>
        </w:rPr>
        <w:t>本项目环境影响报告书征求意见稿信息公开期间</w:t>
      </w:r>
      <w:r>
        <w:rPr>
          <w:rFonts w:hint="eastAsia" w:eastAsia="宋体"/>
          <w:lang w:eastAsia="zh-CN"/>
        </w:rPr>
        <w:t>（2025年</w:t>
      </w:r>
      <w:r>
        <w:rPr>
          <w:rFonts w:hint="eastAsia" w:eastAsia="宋体"/>
          <w:lang w:val="en-US" w:eastAsia="zh-CN"/>
        </w:rPr>
        <w:t>9</w:t>
      </w:r>
      <w:r>
        <w:rPr>
          <w:rFonts w:hint="eastAsia" w:eastAsia="宋体"/>
          <w:lang w:eastAsia="zh-CN"/>
        </w:rPr>
        <w:t>月</w:t>
      </w:r>
      <w:r>
        <w:rPr>
          <w:rFonts w:hint="eastAsia" w:eastAsia="宋体"/>
          <w:lang w:val="en-US" w:eastAsia="zh-CN"/>
        </w:rPr>
        <w:t>2</w:t>
      </w:r>
      <w:r>
        <w:rPr>
          <w:rFonts w:hint="eastAsia" w:eastAsia="宋体"/>
          <w:lang w:eastAsia="zh-CN"/>
        </w:rPr>
        <w:t>8日</w:t>
      </w:r>
      <w:r>
        <w:rPr>
          <w:rFonts w:hint="eastAsia" w:eastAsia="宋体"/>
          <w:lang w:val="en-US" w:eastAsia="zh-CN"/>
        </w:rPr>
        <w:t>至10</w:t>
      </w:r>
      <w:r>
        <w:rPr>
          <w:rFonts w:hint="eastAsia" w:eastAsia="宋体"/>
          <w:lang w:eastAsia="zh-CN"/>
        </w:rPr>
        <w:t>月</w:t>
      </w:r>
      <w:r>
        <w:rPr>
          <w:rFonts w:hint="eastAsia" w:eastAsia="宋体"/>
          <w:lang w:val="en-US" w:eastAsia="zh-CN"/>
        </w:rPr>
        <w:t>15</w:t>
      </w:r>
      <w:r>
        <w:rPr>
          <w:rFonts w:hint="eastAsia" w:eastAsia="宋体"/>
          <w:lang w:eastAsia="zh-CN"/>
        </w:rPr>
        <w:t>日）</w:t>
      </w:r>
      <w:r>
        <w:rPr>
          <w:rFonts w:hint="eastAsia" w:eastAsia="宋体"/>
        </w:rPr>
        <w:t>未收到任何与</w:t>
      </w:r>
      <w:r>
        <w:rPr>
          <w:rFonts w:eastAsia="宋体"/>
        </w:rPr>
        <w:t>本项目</w:t>
      </w:r>
      <w:r>
        <w:rPr>
          <w:rFonts w:hint="eastAsia" w:eastAsia="宋体"/>
        </w:rPr>
        <w:t>环评相关的公众</w:t>
      </w:r>
      <w:r>
        <w:rPr>
          <w:rFonts w:eastAsia="宋体"/>
        </w:rPr>
        <w:t>意见。</w:t>
      </w:r>
    </w:p>
    <w:p w14:paraId="62F56439">
      <w:pPr>
        <w:snapToGrid/>
        <w:ind w:firstLine="480"/>
        <w:rPr>
          <w:rFonts w:eastAsia="宋体"/>
        </w:rPr>
      </w:pPr>
      <w:r>
        <w:rPr>
          <w:rFonts w:eastAsia="宋体"/>
        </w:rPr>
        <w:t>（3）查阅情况</w:t>
      </w:r>
    </w:p>
    <w:p w14:paraId="7ED836A3">
      <w:pPr>
        <w:snapToGrid/>
        <w:ind w:firstLine="480"/>
        <w:rPr>
          <w:rFonts w:eastAsia="宋体"/>
        </w:rPr>
      </w:pPr>
      <w:r>
        <w:rPr>
          <w:rFonts w:hint="eastAsia" w:eastAsia="宋体"/>
        </w:rPr>
        <w:t>信息公开</w:t>
      </w:r>
      <w:r>
        <w:rPr>
          <w:rFonts w:eastAsia="宋体"/>
        </w:rPr>
        <w:t>期间，建设单位未接到查阅申请。</w:t>
      </w:r>
    </w:p>
    <w:p w14:paraId="2C8C07BE">
      <w:pPr>
        <w:snapToGrid/>
        <w:ind w:firstLine="480"/>
        <w:rPr>
          <w:rFonts w:eastAsia="宋体"/>
        </w:rPr>
      </w:pPr>
      <w:r>
        <w:rPr>
          <w:rFonts w:hint="eastAsia" w:eastAsia="宋体"/>
        </w:rPr>
        <w:t>综上，本项目环境影响评价公众参与期间未收到任何与本项目环评相关的公众意见。</w:t>
      </w:r>
    </w:p>
    <w:p w14:paraId="67208751">
      <w:pPr>
        <w:pStyle w:val="2"/>
        <w:snapToGrid/>
        <w:rPr>
          <w:rFonts w:eastAsia="宋体"/>
          <w:sz w:val="24"/>
          <w:szCs w:val="24"/>
        </w:rPr>
      </w:pPr>
      <w:bookmarkStart w:id="60" w:name="_Toc2421"/>
      <w:bookmarkStart w:id="61" w:name="_Toc19593"/>
      <w:r>
        <w:rPr>
          <w:rFonts w:eastAsia="宋体"/>
          <w:sz w:val="24"/>
          <w:szCs w:val="24"/>
        </w:rPr>
        <w:t>6</w:t>
      </w:r>
      <w:r>
        <w:rPr>
          <w:rFonts w:hint="eastAsia" w:eastAsia="宋体"/>
          <w:sz w:val="24"/>
          <w:szCs w:val="24"/>
        </w:rPr>
        <w:t>报批前公开情况</w:t>
      </w:r>
      <w:bookmarkEnd w:id="60"/>
      <w:bookmarkEnd w:id="61"/>
    </w:p>
    <w:p w14:paraId="46599988">
      <w:pPr>
        <w:pStyle w:val="13"/>
        <w:widowControl/>
        <w:adjustRightInd/>
        <w:snapToGrid/>
        <w:spacing w:before="0" w:beforeAutospacing="0" w:after="0" w:afterAutospacing="0"/>
        <w:ind w:firstLine="0" w:firstLineChars="0"/>
        <w:outlineLvl w:val="1"/>
        <w:rPr>
          <w:rFonts w:eastAsia="宋体"/>
          <w:b/>
          <w:bCs/>
        </w:rPr>
      </w:pPr>
      <w:bookmarkStart w:id="62" w:name="_Toc17976"/>
      <w:bookmarkStart w:id="63" w:name="_Toc25242"/>
      <w:r>
        <w:rPr>
          <w:rFonts w:hint="eastAsia" w:eastAsia="宋体"/>
          <w:b/>
          <w:bCs/>
        </w:rPr>
        <w:t>6.1 公开内容及日期</w:t>
      </w:r>
      <w:bookmarkEnd w:id="62"/>
      <w:bookmarkEnd w:id="63"/>
    </w:p>
    <w:p w14:paraId="5DB2F088">
      <w:pPr>
        <w:snapToGrid/>
        <w:ind w:firstLine="480"/>
        <w:jc w:val="left"/>
        <w:rPr>
          <w:rFonts w:eastAsia="宋体"/>
        </w:rPr>
      </w:pPr>
      <w:r>
        <w:rPr>
          <w:rFonts w:hint="eastAsia" w:eastAsia="宋体"/>
        </w:rPr>
        <w:t>本项目在</w:t>
      </w:r>
      <w:r>
        <w:rPr>
          <w:rFonts w:hint="eastAsia" w:eastAsia="宋体"/>
          <w:lang w:val="en-US" w:eastAsia="zh-CN"/>
        </w:rPr>
        <w:t>天津欣国环环保科技有限公司网站</w:t>
      </w:r>
      <w:r>
        <w:rPr>
          <w:rFonts w:hint="eastAsia" w:eastAsia="宋体"/>
        </w:rPr>
        <w:t>公示了拟报批的环境影响报告书全文及公众参与说明，公示时间为</w:t>
      </w:r>
      <w:r>
        <w:rPr>
          <w:rFonts w:eastAsia="宋体"/>
        </w:rPr>
        <w:t>2025</w:t>
      </w:r>
      <w:r>
        <w:rPr>
          <w:rFonts w:hint="eastAsia" w:eastAsia="宋体"/>
        </w:rPr>
        <w:t>年</w:t>
      </w:r>
      <w:r>
        <w:rPr>
          <w:rFonts w:hint="eastAsia" w:eastAsia="宋体"/>
          <w:lang w:val="en-US" w:eastAsia="zh-CN"/>
        </w:rPr>
        <w:t>10</w:t>
      </w:r>
      <w:r>
        <w:rPr>
          <w:rFonts w:hint="eastAsia" w:eastAsia="宋体"/>
        </w:rPr>
        <w:t>月</w:t>
      </w:r>
      <w:r>
        <w:rPr>
          <w:rFonts w:eastAsia="宋体"/>
        </w:rPr>
        <w:t>5</w:t>
      </w:r>
      <w:r>
        <w:rPr>
          <w:rFonts w:hint="eastAsia" w:eastAsia="宋体"/>
        </w:rPr>
        <w:t>日。本次信息公开的内容主要包括：未包含国家秘密、商业秘密、个人隐私等依法不应公开内容的拟报批环境影响报告书全文以及环境影响评价公众参与说明。</w:t>
      </w:r>
    </w:p>
    <w:p w14:paraId="0FB250FC">
      <w:pPr>
        <w:snapToGrid/>
        <w:ind w:firstLine="480"/>
        <w:jc w:val="left"/>
        <w:rPr>
          <w:rFonts w:hint="eastAsia" w:eastAsia="宋体"/>
        </w:rPr>
      </w:pPr>
      <w:r>
        <w:rPr>
          <w:rFonts w:hint="eastAsia" w:eastAsia="宋体"/>
        </w:rPr>
        <w:t>根据《环境影响评价公众参与办法》（生态环境部令第</w:t>
      </w:r>
      <w:r>
        <w:rPr>
          <w:rFonts w:eastAsia="宋体"/>
        </w:rPr>
        <w:t>4</w:t>
      </w:r>
      <w:r>
        <w:rPr>
          <w:rFonts w:hint="eastAsia" w:eastAsia="宋体"/>
        </w:rPr>
        <w:t>号）第二十条，</w:t>
      </w:r>
      <w:r>
        <w:rPr>
          <w:rFonts w:eastAsia="宋体"/>
        </w:rPr>
        <w:t>“</w:t>
      </w:r>
      <w:r>
        <w:rPr>
          <w:rFonts w:hint="eastAsia" w:eastAsia="宋体"/>
        </w:rPr>
        <w:t>建设单位向生态环境主管部门报批环境影响报告书前，应当通过网络平台，公开拟报批的环境影响报告书全文和公众参与说明。</w:t>
      </w:r>
      <w:r>
        <w:rPr>
          <w:rFonts w:eastAsia="宋体"/>
        </w:rPr>
        <w:t>”</w:t>
      </w:r>
      <w:r>
        <w:rPr>
          <w:rFonts w:hint="eastAsia" w:eastAsia="宋体"/>
        </w:rPr>
        <w:t>因此，本次报批前采取网络平台公开的内容和日期符合《环境影响评价公众参与办法》的相关要求。</w:t>
      </w:r>
    </w:p>
    <w:p w14:paraId="6D4D4A3B">
      <w:pPr>
        <w:pStyle w:val="13"/>
        <w:widowControl/>
        <w:adjustRightInd/>
        <w:snapToGrid/>
        <w:spacing w:before="0" w:beforeAutospacing="0" w:after="0" w:afterAutospacing="0"/>
        <w:ind w:firstLine="0" w:firstLineChars="0"/>
        <w:outlineLvl w:val="1"/>
        <w:rPr>
          <w:rFonts w:hint="eastAsia" w:eastAsia="宋体"/>
          <w:b/>
          <w:bCs/>
        </w:rPr>
      </w:pPr>
      <w:bookmarkStart w:id="64" w:name="_Toc9605"/>
      <w:bookmarkStart w:id="65" w:name="_Toc23039"/>
      <w:r>
        <w:rPr>
          <w:rFonts w:hint="eastAsia" w:eastAsia="宋体"/>
          <w:b/>
          <w:bCs/>
        </w:rPr>
        <w:t>6.2 公开方式</w:t>
      </w:r>
      <w:bookmarkEnd w:id="64"/>
      <w:bookmarkEnd w:id="65"/>
    </w:p>
    <w:p w14:paraId="1D7C8436">
      <w:pPr>
        <w:adjustRightInd/>
        <w:snapToGrid/>
        <w:ind w:firstLine="480"/>
        <w:outlineLvl w:val="2"/>
        <w:rPr>
          <w:rFonts w:hint="eastAsia" w:eastAsia="宋体"/>
        </w:rPr>
      </w:pPr>
      <w:bookmarkStart w:id="66" w:name="_Toc6720"/>
      <w:r>
        <w:rPr>
          <w:rFonts w:hint="eastAsia" w:eastAsia="宋体"/>
        </w:rPr>
        <w:t>6.2.1 网络</w:t>
      </w:r>
      <w:bookmarkEnd w:id="66"/>
    </w:p>
    <w:p w14:paraId="0ACEF63B">
      <w:pPr>
        <w:pStyle w:val="13"/>
        <w:widowControl/>
        <w:adjustRightInd/>
        <w:snapToGrid/>
        <w:spacing w:before="0" w:beforeAutospacing="0" w:after="0" w:afterAutospacing="0"/>
        <w:ind w:firstLine="480"/>
        <w:rPr>
          <w:rFonts w:eastAsia="宋体"/>
        </w:rPr>
      </w:pPr>
      <w:r>
        <w:rPr>
          <w:rFonts w:hint="eastAsia" w:eastAsia="宋体"/>
        </w:rPr>
        <w:t>建设单位于2</w:t>
      </w:r>
      <w:r>
        <w:rPr>
          <w:rFonts w:eastAsia="宋体"/>
        </w:rPr>
        <w:t>025</w:t>
      </w:r>
      <w:r>
        <w:rPr>
          <w:rFonts w:hint="eastAsia" w:eastAsia="宋体"/>
        </w:rPr>
        <w:t>年</w:t>
      </w:r>
      <w:r>
        <w:rPr>
          <w:rFonts w:hint="eastAsia" w:eastAsia="宋体"/>
          <w:lang w:val="en-US" w:eastAsia="zh-CN"/>
        </w:rPr>
        <w:t>10</w:t>
      </w:r>
      <w:r>
        <w:rPr>
          <w:rFonts w:hint="eastAsia" w:eastAsia="宋体"/>
        </w:rPr>
        <w:t>月</w:t>
      </w:r>
      <w:r>
        <w:rPr>
          <w:rFonts w:hint="eastAsia" w:eastAsia="宋体"/>
          <w:lang w:val="en-US" w:eastAsia="zh-CN"/>
        </w:rPr>
        <w:t>16</w:t>
      </w:r>
      <w:r>
        <w:rPr>
          <w:rFonts w:hint="eastAsia" w:eastAsia="宋体"/>
        </w:rPr>
        <w:t>日在</w:t>
      </w:r>
      <w:r>
        <w:rPr>
          <w:rFonts w:hint="eastAsia" w:eastAsia="宋体"/>
          <w:lang w:eastAsia="zh-CN"/>
        </w:rPr>
        <w:t>天津欣国环环保科技有限公司网站</w:t>
      </w:r>
      <w:r>
        <w:rPr>
          <w:rFonts w:hint="eastAsia" w:eastAsia="宋体"/>
        </w:rPr>
        <w:t>上进行了本项目环境影响报告书全文以及环境影响评价公众参与说明报批前信息公开。</w:t>
      </w:r>
    </w:p>
    <w:p w14:paraId="5AF6F77A">
      <w:pPr>
        <w:pStyle w:val="13"/>
        <w:widowControl/>
        <w:adjustRightInd/>
        <w:snapToGrid/>
        <w:spacing w:before="0" w:beforeAutospacing="0" w:after="0" w:afterAutospacing="0"/>
        <w:ind w:firstLine="480"/>
        <w:rPr>
          <w:rFonts w:eastAsia="宋体"/>
        </w:rPr>
      </w:pPr>
      <w:r>
        <w:rPr>
          <w:rFonts w:hint="eastAsia" w:eastAsia="宋体"/>
        </w:rPr>
        <w:t>载体选取的符合性分析：</w:t>
      </w:r>
    </w:p>
    <w:p w14:paraId="6F5C501A">
      <w:pPr>
        <w:pStyle w:val="13"/>
        <w:widowControl/>
        <w:adjustRightInd/>
        <w:snapToGrid/>
        <w:spacing w:before="0" w:beforeAutospacing="0" w:after="0" w:afterAutospacing="0"/>
        <w:ind w:firstLine="480"/>
        <w:rPr>
          <w:rFonts w:eastAsia="宋体"/>
        </w:rPr>
      </w:pPr>
      <w:commentRangeStart w:id="4"/>
      <w:r>
        <w:rPr>
          <w:rFonts w:hint="eastAsia" w:eastAsia="宋体"/>
          <w:lang w:eastAsia="zh-CN"/>
        </w:rPr>
        <w:t>天津欣国环环保科技有限公司网站</w:t>
      </w:r>
      <w:r>
        <w:rPr>
          <w:rFonts w:eastAsia="宋体"/>
        </w:rPr>
        <w:t>是由天津市委宣传部牵头</w:t>
      </w:r>
      <w:r>
        <w:rPr>
          <w:rFonts w:hint="eastAsia" w:eastAsia="宋体"/>
        </w:rPr>
        <w:t>，</w:t>
      </w:r>
      <w:r>
        <w:rPr>
          <w:rFonts w:eastAsia="宋体"/>
        </w:rPr>
        <w:t>天津海河传媒中心主管</w:t>
      </w:r>
      <w:r>
        <w:rPr>
          <w:rFonts w:hint="eastAsia" w:eastAsia="宋体"/>
        </w:rPr>
        <w:t>，</w:t>
      </w:r>
      <w:r>
        <w:rPr>
          <w:rFonts w:eastAsia="宋体"/>
        </w:rPr>
        <w:t>天津津云新媒体集团主办的省级新闻网站</w:t>
      </w:r>
      <w:r>
        <w:rPr>
          <w:rFonts w:hint="eastAsia" w:eastAsia="宋体"/>
        </w:rPr>
        <w:t>；</w:t>
      </w:r>
      <w:r>
        <w:rPr>
          <w:rFonts w:eastAsia="宋体"/>
        </w:rPr>
        <w:t>2000年12月18日开通</w:t>
      </w:r>
      <w:r>
        <w:rPr>
          <w:rFonts w:hint="eastAsia" w:eastAsia="宋体"/>
        </w:rPr>
        <w:t>，</w:t>
      </w:r>
      <w:r>
        <w:rPr>
          <w:rFonts w:eastAsia="宋体"/>
        </w:rPr>
        <w:t>2001年被中宣部确定为全国十大主流新闻网站之一</w:t>
      </w:r>
      <w:r>
        <w:rPr>
          <w:rFonts w:hint="eastAsia" w:eastAsia="宋体"/>
          <w:lang w:eastAsia="zh-CN"/>
        </w:rPr>
        <w:t>，</w:t>
      </w:r>
      <w:r>
        <w:rPr>
          <w:rFonts w:hint="eastAsia" w:eastAsia="宋体"/>
          <w:lang w:val="en-US" w:eastAsia="zh-CN"/>
        </w:rPr>
        <w:t>属于建设项目所在地公共媒体网站</w:t>
      </w:r>
      <w:r>
        <w:rPr>
          <w:rFonts w:hint="eastAsia" w:eastAsia="宋体"/>
        </w:rPr>
        <w:t>。</w:t>
      </w:r>
      <w:commentRangeEnd w:id="4"/>
      <w:r>
        <w:commentReference w:id="4"/>
      </w:r>
      <w:r>
        <w:rPr>
          <w:rFonts w:hint="eastAsia" w:eastAsia="宋体"/>
        </w:rPr>
        <w:t>网络平台选取</w:t>
      </w:r>
      <w:r>
        <w:rPr>
          <w:rFonts w:eastAsia="宋体"/>
        </w:rPr>
        <w:t>符合《环境影响评价公众参与办法》(</w:t>
      </w:r>
      <w:r>
        <w:rPr>
          <w:rFonts w:hint="eastAsia" w:eastAsia="宋体"/>
        </w:rPr>
        <w:t>生态环境部令第</w:t>
      </w:r>
      <w:r>
        <w:rPr>
          <w:rFonts w:eastAsia="宋体"/>
        </w:rPr>
        <w:t>4</w:t>
      </w:r>
      <w:r>
        <w:rPr>
          <w:rFonts w:hint="eastAsia" w:eastAsia="宋体"/>
        </w:rPr>
        <w:t>号</w:t>
      </w:r>
      <w:r>
        <w:rPr>
          <w:rFonts w:eastAsia="宋体"/>
        </w:rPr>
        <w:t>)</w:t>
      </w:r>
      <w:r>
        <w:rPr>
          <w:rFonts w:hint="eastAsia" w:eastAsia="宋体"/>
        </w:rPr>
        <w:t>的相关</w:t>
      </w:r>
      <w:r>
        <w:rPr>
          <w:rFonts w:eastAsia="宋体"/>
        </w:rPr>
        <w:t>要求。</w:t>
      </w:r>
    </w:p>
    <w:p w14:paraId="69ECA81A">
      <w:pPr>
        <w:pStyle w:val="13"/>
        <w:widowControl/>
        <w:adjustRightInd/>
        <w:snapToGrid/>
        <w:spacing w:before="0" w:beforeAutospacing="0" w:after="0" w:afterAutospacing="0"/>
        <w:ind w:firstLine="480"/>
        <w:rPr>
          <w:rFonts w:eastAsia="宋体"/>
        </w:rPr>
      </w:pPr>
      <w:r>
        <w:rPr>
          <w:rFonts w:eastAsia="宋体"/>
        </w:rPr>
        <w:t>网络公示</w:t>
      </w:r>
      <w:r>
        <w:rPr>
          <w:rFonts w:hint="eastAsia" w:eastAsia="宋体"/>
        </w:rPr>
        <w:t>网址为：</w:t>
      </w:r>
    </w:p>
    <w:p w14:paraId="4D5F2341">
      <w:pPr>
        <w:ind w:firstLine="480"/>
        <w:rPr>
          <w:rFonts w:eastAsia="宋体"/>
        </w:rPr>
      </w:pPr>
      <w:commentRangeStart w:id="5"/>
      <w:r>
        <w:rPr>
          <w:rFonts w:hint="eastAsia"/>
        </w:rPr>
        <w:t>http://house.enorth.com.cn/system/2025/06/05/058429248.shtm</w:t>
      </w:r>
      <w:commentRangeEnd w:id="5"/>
      <w:r>
        <w:commentReference w:id="5"/>
      </w:r>
      <w:r>
        <w:rPr>
          <w:rFonts w:hint="eastAsia"/>
        </w:rPr>
        <w:t>l</w:t>
      </w:r>
      <w:r>
        <w:rPr>
          <w:rFonts w:hint="eastAsia" w:eastAsia="宋体"/>
        </w:rPr>
        <w:t>；</w:t>
      </w:r>
    </w:p>
    <w:p w14:paraId="3EA3A19B">
      <w:pPr>
        <w:snapToGrid/>
        <w:ind w:firstLine="480"/>
        <w:jc w:val="left"/>
        <w:rPr>
          <w:rFonts w:eastAsia="宋体"/>
        </w:rPr>
        <w:sectPr>
          <w:pgSz w:w="11906" w:h="16838"/>
          <w:pgMar w:top="1440" w:right="1800" w:bottom="1440" w:left="1800" w:header="851" w:footer="992" w:gutter="0"/>
          <w:cols w:space="720" w:num="1"/>
          <w:docGrid w:type="lines" w:linePitch="312" w:charSpace="0"/>
        </w:sectPr>
      </w:pPr>
      <w:r>
        <w:rPr>
          <w:rFonts w:eastAsia="宋体"/>
        </w:rPr>
        <w:t>网站公示截图如下。</w:t>
      </w:r>
    </w:p>
    <w:p w14:paraId="6635FC1B">
      <w:pPr>
        <w:snapToGrid/>
        <w:ind w:firstLine="0" w:firstLineChars="0"/>
        <w:jc w:val="left"/>
        <w:rPr>
          <w:rFonts w:eastAsia="宋体"/>
          <w:color w:val="FF0000"/>
        </w:rPr>
        <w:sectPr>
          <w:pgSz w:w="16838" w:h="11906" w:orient="landscape"/>
          <w:pgMar w:top="1800" w:right="1440" w:bottom="1800" w:left="1440" w:header="851" w:footer="992" w:gutter="0"/>
          <w:cols w:space="720" w:num="1"/>
          <w:docGrid w:type="lines" w:linePitch="326" w:charSpace="0"/>
        </w:sectPr>
      </w:pPr>
      <w:r>
        <w:rPr>
          <w:rFonts w:hint="eastAsia"/>
          <w:color w:val="000000"/>
          <w:sz w:val="28"/>
          <w:szCs w:val="28"/>
        </w:rPr>
        <w:drawing>
          <wp:inline distT="0" distB="0" distL="114300" distR="114300">
            <wp:extent cx="8732520" cy="5150485"/>
            <wp:effectExtent l="0" t="0" r="11430" b="1206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3"/>
                    <a:stretch>
                      <a:fillRect/>
                    </a:stretch>
                  </pic:blipFill>
                  <pic:spPr>
                    <a:xfrm>
                      <a:off x="0" y="0"/>
                      <a:ext cx="8732520" cy="5150485"/>
                    </a:xfrm>
                    <a:prstGeom prst="rect">
                      <a:avLst/>
                    </a:prstGeom>
                    <a:noFill/>
                    <a:ln>
                      <a:noFill/>
                    </a:ln>
                  </pic:spPr>
                </pic:pic>
              </a:graphicData>
            </a:graphic>
          </wp:inline>
        </w:drawing>
      </w:r>
    </w:p>
    <w:p w14:paraId="46253F0F">
      <w:pPr>
        <w:adjustRightInd/>
        <w:snapToGrid/>
        <w:ind w:firstLine="480"/>
        <w:outlineLvl w:val="2"/>
        <w:rPr>
          <w:rFonts w:hint="eastAsia" w:eastAsia="宋体"/>
        </w:rPr>
      </w:pPr>
      <w:bookmarkStart w:id="67" w:name="_Toc23835"/>
      <w:r>
        <w:rPr>
          <w:rFonts w:hint="eastAsia" w:eastAsia="宋体"/>
        </w:rPr>
        <w:t>6.2.2其他</w:t>
      </w:r>
      <w:bookmarkEnd w:id="67"/>
    </w:p>
    <w:p w14:paraId="55D69CA6">
      <w:pPr>
        <w:snapToGrid/>
        <w:ind w:firstLine="480"/>
        <w:jc w:val="left"/>
        <w:rPr>
          <w:rFonts w:hint="eastAsia" w:eastAsia="宋体"/>
        </w:rPr>
      </w:pPr>
      <w:r>
        <w:rPr>
          <w:rFonts w:hint="eastAsia" w:eastAsia="宋体"/>
        </w:rPr>
        <w:t>除上述公示方式外，我单位未采取其他方式进行本项目环境影响报告书报批前信息公开。</w:t>
      </w:r>
    </w:p>
    <w:p w14:paraId="6F2DFEBA">
      <w:pPr>
        <w:pStyle w:val="2"/>
        <w:snapToGrid/>
        <w:rPr>
          <w:rFonts w:eastAsia="宋体"/>
          <w:sz w:val="24"/>
          <w:szCs w:val="24"/>
        </w:rPr>
      </w:pPr>
      <w:bookmarkStart w:id="68" w:name="_Toc5828"/>
      <w:bookmarkStart w:id="69" w:name="_Toc26263"/>
      <w:r>
        <w:rPr>
          <w:rFonts w:hint="eastAsia" w:eastAsia="宋体"/>
          <w:sz w:val="24"/>
          <w:szCs w:val="24"/>
        </w:rPr>
        <w:t>7</w:t>
      </w:r>
      <w:r>
        <w:rPr>
          <w:rFonts w:eastAsia="宋体"/>
          <w:sz w:val="24"/>
          <w:szCs w:val="24"/>
        </w:rPr>
        <w:t>其他</w:t>
      </w:r>
      <w:bookmarkEnd w:id="68"/>
      <w:bookmarkEnd w:id="69"/>
    </w:p>
    <w:bookmarkEnd w:id="36"/>
    <w:p w14:paraId="40F09CF8">
      <w:pPr>
        <w:snapToGrid/>
        <w:ind w:firstLine="480"/>
        <w:rPr>
          <w:rFonts w:eastAsia="宋体"/>
        </w:rPr>
      </w:pPr>
      <w:r>
        <w:rPr>
          <w:rFonts w:hint="eastAsia" w:eastAsia="宋体"/>
        </w:rPr>
        <w:t>在网站公示有效期内可以随时到网站进行相关内容的浏览，并均有网站公示截图存档。登报公示内容建设单位均有照片和实物报纸存档。本项目环境影响报告书编制过程中公众参与的相关原始资料，我单位已存档于</w:t>
      </w:r>
      <w:r>
        <w:rPr>
          <w:rFonts w:hint="eastAsia" w:eastAsia="宋体"/>
          <w:lang w:eastAsia="zh-CN"/>
        </w:rPr>
        <w:t>茵梦达（天津）驱动技术有限公司</w:t>
      </w:r>
      <w:r>
        <w:rPr>
          <w:rFonts w:hint="eastAsia" w:eastAsia="宋体"/>
        </w:rPr>
        <w:t>档案室内备查，存档地址为：</w:t>
      </w:r>
      <w:commentRangeStart w:id="6"/>
      <w:r>
        <w:rPr>
          <w:rFonts w:hint="eastAsia" w:eastAsia="宋体"/>
        </w:rPr>
        <w:t>天津市滨海新区大港北围堤路 160 号</w:t>
      </w:r>
      <w:commentRangeEnd w:id="6"/>
      <w:r>
        <w:commentReference w:id="6"/>
      </w:r>
      <w:r>
        <w:rPr>
          <w:rFonts w:hint="eastAsia" w:eastAsia="宋体"/>
        </w:rPr>
        <w:t>。</w:t>
      </w:r>
    </w:p>
    <w:p w14:paraId="37EA5115">
      <w:pPr>
        <w:pStyle w:val="3"/>
        <w:ind w:firstLine="480"/>
      </w:pPr>
    </w:p>
    <w:p w14:paraId="659AE169">
      <w:pPr>
        <w:pStyle w:val="4"/>
        <w:ind w:firstLine="480"/>
      </w:pPr>
    </w:p>
    <w:p w14:paraId="741F3891">
      <w:pPr>
        <w:ind w:firstLine="480"/>
        <w:sectPr>
          <w:pgSz w:w="11906" w:h="16838"/>
          <w:pgMar w:top="1440" w:right="1800" w:bottom="1440" w:left="1800" w:header="851" w:footer="992" w:gutter="0"/>
          <w:cols w:space="720" w:num="1"/>
          <w:docGrid w:type="lines" w:linePitch="312" w:charSpace="0"/>
        </w:sectPr>
      </w:pPr>
    </w:p>
    <w:p w14:paraId="66BD772C">
      <w:pPr>
        <w:pStyle w:val="2"/>
        <w:rPr>
          <w:rFonts w:hint="eastAsia" w:eastAsia="宋体"/>
          <w:sz w:val="24"/>
          <w:szCs w:val="24"/>
        </w:rPr>
      </w:pPr>
      <w:bookmarkStart w:id="70" w:name="_Toc13642"/>
      <w:bookmarkStart w:id="71" w:name="_Toc29802"/>
      <w:r>
        <w:rPr>
          <w:rFonts w:eastAsia="宋体"/>
          <w:sz w:val="24"/>
          <w:szCs w:val="24"/>
        </w:rPr>
        <w:t>8</w:t>
      </w:r>
      <w:r>
        <w:rPr>
          <w:rFonts w:hint="eastAsia" w:eastAsia="宋体"/>
          <w:sz w:val="24"/>
          <w:szCs w:val="24"/>
        </w:rPr>
        <w:t>诚信承诺</w:t>
      </w:r>
      <w:bookmarkEnd w:id="70"/>
      <w:bookmarkEnd w:id="71"/>
    </w:p>
    <w:p w14:paraId="51621AA4">
      <w:pPr>
        <w:ind w:firstLine="480"/>
        <w:jc w:val="left"/>
        <w:rPr>
          <w:rFonts w:eastAsia="宋体"/>
        </w:rPr>
      </w:pPr>
      <w:r>
        <w:rPr>
          <w:rFonts w:eastAsia="宋体"/>
        </w:rPr>
        <w:t>我单位已按照《环境影响评价公众参与办法》要求，在《</w:t>
      </w:r>
      <w:r>
        <w:rPr>
          <w:rFonts w:hint="eastAsia" w:eastAsia="宋体"/>
          <w:lang w:eastAsia="zh-CN"/>
        </w:rPr>
        <w:t>茵梦达（天津）驱动技术有限公司茵梦达（驱动技术）研发生产基地项目</w:t>
      </w:r>
      <w:r>
        <w:rPr>
          <w:rFonts w:eastAsia="宋体"/>
        </w:rPr>
        <w:t>环境影响报告书》编制阶段开展了公众参与工作</w:t>
      </w:r>
      <w:r>
        <w:rPr>
          <w:rFonts w:hint="eastAsia" w:eastAsia="宋体"/>
        </w:rPr>
        <w:t>。</w:t>
      </w:r>
      <w:r>
        <w:rPr>
          <w:rFonts w:eastAsia="宋体"/>
        </w:rPr>
        <w:t>在开展公众参与工作期间，</w:t>
      </w:r>
      <w:r>
        <w:rPr>
          <w:rFonts w:hint="eastAsia" w:eastAsia="宋体"/>
        </w:rPr>
        <w:t>未收到任何公众和相关单位的反馈意见</w:t>
      </w:r>
      <w:r>
        <w:rPr>
          <w:rFonts w:eastAsia="宋体"/>
        </w:rPr>
        <w:t>，结合公众参与工作内容，我单位按照要求编制了公众参与说明</w:t>
      </w:r>
      <w:r>
        <w:rPr>
          <w:rFonts w:hint="eastAsia" w:eastAsia="宋体"/>
        </w:rPr>
        <w:t>。</w:t>
      </w:r>
    </w:p>
    <w:p w14:paraId="44FFAAED">
      <w:pPr>
        <w:pStyle w:val="3"/>
        <w:ind w:firstLine="480"/>
        <w:rPr>
          <w:rFonts w:eastAsia="宋体"/>
        </w:rPr>
      </w:pPr>
      <w:r>
        <w:rPr>
          <w:rFonts w:eastAsia="宋体"/>
        </w:rPr>
        <w:t>我单位承诺，本次提交的《</w:t>
      </w:r>
      <w:r>
        <w:rPr>
          <w:rFonts w:hint="eastAsia" w:eastAsia="宋体"/>
          <w:lang w:eastAsia="zh-CN"/>
        </w:rPr>
        <w:t>茵梦达（天津）驱动技术有限公司茵梦达（驱动技术）研发生产基地项目</w:t>
      </w:r>
      <w:r>
        <w:rPr>
          <w:rFonts w:eastAsia="宋体"/>
        </w:rPr>
        <w:t>环境影响评价公众参与说明》内容客观、真实，未包含依法不得公开的国家秘密、商业秘密、个人隐私。如存在弄虚作假、隐瞒欺骗等情况及由此导致的一切后果由</w:t>
      </w:r>
      <w:r>
        <w:rPr>
          <w:rFonts w:hint="eastAsia" w:eastAsia="宋体"/>
          <w:lang w:eastAsia="zh-CN"/>
        </w:rPr>
        <w:t>茵梦达（天津）驱动技术有限公司</w:t>
      </w:r>
      <w:r>
        <w:rPr>
          <w:rFonts w:eastAsia="宋体"/>
        </w:rPr>
        <w:t>承担全部责任。</w:t>
      </w:r>
    </w:p>
    <w:p w14:paraId="223AEDED">
      <w:pPr>
        <w:adjustRightInd/>
        <w:snapToGrid/>
        <w:ind w:firstLine="0" w:firstLineChars="0"/>
        <w:jc w:val="center"/>
        <w:rPr>
          <w:rFonts w:eastAsia="宋体"/>
        </w:rPr>
      </w:pPr>
      <w:r>
        <w:rPr>
          <w:rFonts w:eastAsia="宋体"/>
        </w:rPr>
        <w:t xml:space="preserve">                         </w:t>
      </w:r>
    </w:p>
    <w:p w14:paraId="3E5FB036">
      <w:pPr>
        <w:pStyle w:val="3"/>
        <w:ind w:firstLine="480"/>
        <w:rPr>
          <w:rFonts w:hint="eastAsia"/>
        </w:rPr>
      </w:pPr>
    </w:p>
    <w:p w14:paraId="797736AB">
      <w:pPr>
        <w:adjustRightInd/>
        <w:snapToGrid/>
        <w:ind w:firstLine="0" w:firstLineChars="0"/>
        <w:jc w:val="right"/>
        <w:rPr>
          <w:rFonts w:hint="eastAsia" w:eastAsia="宋体"/>
          <w:lang w:eastAsia="zh-CN"/>
        </w:rPr>
      </w:pPr>
      <w:r>
        <w:rPr>
          <w:rFonts w:hint="eastAsia" w:eastAsia="宋体"/>
        </w:rPr>
        <w:t xml:space="preserve">                         </w:t>
      </w:r>
      <w:r>
        <w:rPr>
          <w:rFonts w:eastAsia="宋体"/>
        </w:rPr>
        <w:t xml:space="preserve">   承诺单位：</w:t>
      </w:r>
      <w:r>
        <w:rPr>
          <w:rFonts w:hint="eastAsia" w:eastAsia="宋体"/>
          <w:lang w:eastAsia="zh-CN"/>
        </w:rPr>
        <w:t>茵梦达（天津）驱动技术有限公司</w:t>
      </w:r>
    </w:p>
    <w:p w14:paraId="0B6BBB22">
      <w:pPr>
        <w:pStyle w:val="3"/>
        <w:ind w:firstLine="480"/>
        <w:jc w:val="right"/>
        <w:rPr>
          <w:rFonts w:eastAsia="宋体"/>
        </w:rPr>
      </w:pPr>
      <w:r>
        <w:rPr>
          <w:rFonts w:eastAsia="宋体"/>
        </w:rPr>
        <w:t xml:space="preserve">                                承诺时间：2025年 </w:t>
      </w:r>
      <w:r>
        <w:rPr>
          <w:rFonts w:hint="eastAsia" w:eastAsia="宋体"/>
          <w:lang w:val="en-US" w:eastAsia="zh-CN"/>
        </w:rPr>
        <w:t>10</w:t>
      </w:r>
      <w:r>
        <w:rPr>
          <w:rFonts w:eastAsia="宋体"/>
        </w:rPr>
        <w:t xml:space="preserve"> 月</w:t>
      </w:r>
    </w:p>
    <w:sectPr>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敏敏柯木儿" w:date="2025-10-13T18:37:57Z" w:initials="">
    <w:p w14:paraId="3F3FD0F7">
      <w:pPr>
        <w:pStyle w:val="5"/>
      </w:pPr>
      <w:r>
        <w:annotationRef/>
      </w:r>
    </w:p>
  </w:comment>
  <w:comment w:id="1" w:author="敏敏柯木儿" w:date="2025-10-13T18:37:51Z" w:initials="">
    <w:p w14:paraId="602943A7">
      <w:pPr>
        <w:pStyle w:val="5"/>
      </w:pPr>
      <w:r>
        <w:annotationRef/>
      </w:r>
    </w:p>
  </w:comment>
  <w:comment w:id="2" w:author="敏敏柯木儿" w:date="2025-10-13T18:39:06Z" w:initials="">
    <w:p w14:paraId="2DD8C011">
      <w:pPr>
        <w:pStyle w:val="5"/>
      </w:pPr>
      <w:r>
        <w:annotationRef/>
      </w:r>
    </w:p>
  </w:comment>
  <w:comment w:id="3" w:author="敏敏柯木儿" w:date="2025-10-13T18:39:40Z" w:initials="">
    <w:p w14:paraId="31FFBDF2">
      <w:pPr>
        <w:pStyle w:val="5"/>
      </w:pPr>
      <w:r>
        <w:annotationRef/>
      </w:r>
    </w:p>
  </w:comment>
  <w:comment w:id="4" w:author="敏敏柯木儿" w:date="2025-10-13T18:44:38Z" w:initials="">
    <w:p w14:paraId="51AD649D">
      <w:pPr>
        <w:pStyle w:val="5"/>
      </w:pPr>
      <w:r>
        <w:annotationRef/>
      </w:r>
    </w:p>
  </w:comment>
  <w:comment w:id="5" w:author="敏敏柯木儿" w:date="2025-10-13T18:45:20Z" w:initials="">
    <w:p w14:paraId="225B3821">
      <w:pPr>
        <w:pStyle w:val="5"/>
      </w:pPr>
      <w:r>
        <w:annotationRef/>
      </w:r>
    </w:p>
  </w:comment>
  <w:comment w:id="6" w:author="敏敏柯木儿" w:date="2025-10-13T18:45:48Z" w:initials="">
    <w:p w14:paraId="05C7FA62">
      <w:pPr>
        <w:pStyle w:val="5"/>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F3FD0F7" w15:done="0"/>
  <w15:commentEx w15:paraId="602943A7" w15:done="0"/>
  <w15:commentEx w15:paraId="2DD8C011" w15:done="0"/>
  <w15:commentEx w15:paraId="31FFBDF2" w15:done="0"/>
  <w15:commentEx w15:paraId="51AD649D" w15:done="0"/>
  <w15:commentEx w15:paraId="225B3821" w15:done="0"/>
  <w15:commentEx w15:paraId="05C7FA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ËÎÌå">
    <w:altName w:val="Times New Roman"/>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E37E4">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652DF">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1211E">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82508">
    <w:pPr>
      <w:pStyle w:val="10"/>
      <w:ind w:firstLine="0" w:firstLineChars="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3D81C">
    <w:pPr>
      <w:pStyle w:val="10"/>
      <w:ind w:firstLine="360"/>
      <w:jc w:val="center"/>
      <w:rPr>
        <w:rFonts w:hint="eastAsia"/>
      </w:rPr>
    </w:pPr>
    <w:r>
      <w:fldChar w:fldCharType="begin"/>
    </w:r>
    <w:r>
      <w:instrText xml:space="preserve">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CC005">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282A5">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45B6F">
    <w:pPr>
      <w:pStyle w:val="11"/>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敏敏柯木儿">
    <w15:presenceInfo w15:providerId="WPS Office" w15:userId="6743830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4ZjE0NTA4NWViNDYzMjExNWY4NmJhODg4NDIyNzcifQ=="/>
  </w:docVars>
  <w:rsids>
    <w:rsidRoot w:val="00172A27"/>
    <w:rsid w:val="00050438"/>
    <w:rsid w:val="00083F6D"/>
    <w:rsid w:val="00091414"/>
    <w:rsid w:val="000A2093"/>
    <w:rsid w:val="000B0569"/>
    <w:rsid w:val="000C49B2"/>
    <w:rsid w:val="000D102C"/>
    <w:rsid w:val="0012206C"/>
    <w:rsid w:val="00133EC3"/>
    <w:rsid w:val="00146E5E"/>
    <w:rsid w:val="001A074F"/>
    <w:rsid w:val="001A1267"/>
    <w:rsid w:val="001A6900"/>
    <w:rsid w:val="001B16BC"/>
    <w:rsid w:val="001C79B2"/>
    <w:rsid w:val="001C7CF4"/>
    <w:rsid w:val="001E4F45"/>
    <w:rsid w:val="00212706"/>
    <w:rsid w:val="00226122"/>
    <w:rsid w:val="00245D8B"/>
    <w:rsid w:val="003012D1"/>
    <w:rsid w:val="00304FC9"/>
    <w:rsid w:val="003206C2"/>
    <w:rsid w:val="00337010"/>
    <w:rsid w:val="00362A0C"/>
    <w:rsid w:val="003848A5"/>
    <w:rsid w:val="003B22BF"/>
    <w:rsid w:val="003D097C"/>
    <w:rsid w:val="003F6605"/>
    <w:rsid w:val="0040694B"/>
    <w:rsid w:val="00431D5B"/>
    <w:rsid w:val="004704E3"/>
    <w:rsid w:val="00470880"/>
    <w:rsid w:val="004A6488"/>
    <w:rsid w:val="004D1C51"/>
    <w:rsid w:val="004D4451"/>
    <w:rsid w:val="00547D5C"/>
    <w:rsid w:val="00596452"/>
    <w:rsid w:val="005C6E04"/>
    <w:rsid w:val="00600151"/>
    <w:rsid w:val="0060053B"/>
    <w:rsid w:val="006009DB"/>
    <w:rsid w:val="00604811"/>
    <w:rsid w:val="006476D4"/>
    <w:rsid w:val="00650396"/>
    <w:rsid w:val="00652A55"/>
    <w:rsid w:val="00667AD0"/>
    <w:rsid w:val="00681108"/>
    <w:rsid w:val="006961CF"/>
    <w:rsid w:val="006A4199"/>
    <w:rsid w:val="006C0550"/>
    <w:rsid w:val="00732CAB"/>
    <w:rsid w:val="00744E50"/>
    <w:rsid w:val="0077364F"/>
    <w:rsid w:val="00797031"/>
    <w:rsid w:val="007B2E56"/>
    <w:rsid w:val="007B3F3F"/>
    <w:rsid w:val="008509EC"/>
    <w:rsid w:val="0088629B"/>
    <w:rsid w:val="008C4782"/>
    <w:rsid w:val="00903AA8"/>
    <w:rsid w:val="0090718A"/>
    <w:rsid w:val="0092448B"/>
    <w:rsid w:val="0097009B"/>
    <w:rsid w:val="00975FB9"/>
    <w:rsid w:val="00997831"/>
    <w:rsid w:val="009A368E"/>
    <w:rsid w:val="009C4FE4"/>
    <w:rsid w:val="009E1D81"/>
    <w:rsid w:val="00A21262"/>
    <w:rsid w:val="00A3235F"/>
    <w:rsid w:val="00A67EF1"/>
    <w:rsid w:val="00A73772"/>
    <w:rsid w:val="00A74987"/>
    <w:rsid w:val="00AA680A"/>
    <w:rsid w:val="00AC35CA"/>
    <w:rsid w:val="00AD69C4"/>
    <w:rsid w:val="00B1389D"/>
    <w:rsid w:val="00B25A2C"/>
    <w:rsid w:val="00B509AB"/>
    <w:rsid w:val="00B61AAB"/>
    <w:rsid w:val="00BA21BD"/>
    <w:rsid w:val="00BA262D"/>
    <w:rsid w:val="00BD4432"/>
    <w:rsid w:val="00C74938"/>
    <w:rsid w:val="00D44291"/>
    <w:rsid w:val="00D57B8C"/>
    <w:rsid w:val="00D77EBE"/>
    <w:rsid w:val="00D82134"/>
    <w:rsid w:val="00D8297C"/>
    <w:rsid w:val="00D909E9"/>
    <w:rsid w:val="00DD2D82"/>
    <w:rsid w:val="00E00AC7"/>
    <w:rsid w:val="00E01281"/>
    <w:rsid w:val="00E169BA"/>
    <w:rsid w:val="00E5284B"/>
    <w:rsid w:val="00E564A5"/>
    <w:rsid w:val="00EC6930"/>
    <w:rsid w:val="00EF4932"/>
    <w:rsid w:val="00F43FF4"/>
    <w:rsid w:val="00FA313C"/>
    <w:rsid w:val="00FB0A91"/>
    <w:rsid w:val="00FB5C4E"/>
    <w:rsid w:val="00FC1674"/>
    <w:rsid w:val="00FD73B9"/>
    <w:rsid w:val="00FF3B5B"/>
    <w:rsid w:val="06A5091B"/>
    <w:rsid w:val="07820E15"/>
    <w:rsid w:val="0ADF52ED"/>
    <w:rsid w:val="0C030B1C"/>
    <w:rsid w:val="0E281633"/>
    <w:rsid w:val="0F3462FD"/>
    <w:rsid w:val="0F43754E"/>
    <w:rsid w:val="10294501"/>
    <w:rsid w:val="10445638"/>
    <w:rsid w:val="10EA5A3E"/>
    <w:rsid w:val="111B242A"/>
    <w:rsid w:val="130C6DF9"/>
    <w:rsid w:val="17111879"/>
    <w:rsid w:val="1843389B"/>
    <w:rsid w:val="1B5A24BA"/>
    <w:rsid w:val="1F4832C5"/>
    <w:rsid w:val="1FEB05C2"/>
    <w:rsid w:val="237F60D8"/>
    <w:rsid w:val="25AB2EFD"/>
    <w:rsid w:val="287D3AF4"/>
    <w:rsid w:val="291A22CB"/>
    <w:rsid w:val="2D9C7093"/>
    <w:rsid w:val="30B7350A"/>
    <w:rsid w:val="32785A86"/>
    <w:rsid w:val="35460218"/>
    <w:rsid w:val="3730572B"/>
    <w:rsid w:val="3B615BF5"/>
    <w:rsid w:val="3E54456C"/>
    <w:rsid w:val="3F1C12AD"/>
    <w:rsid w:val="3FD80FD4"/>
    <w:rsid w:val="40341EE0"/>
    <w:rsid w:val="40722652"/>
    <w:rsid w:val="4189152B"/>
    <w:rsid w:val="43147B68"/>
    <w:rsid w:val="435122B6"/>
    <w:rsid w:val="4B2A4783"/>
    <w:rsid w:val="4B775B45"/>
    <w:rsid w:val="4BBD4156"/>
    <w:rsid w:val="4D69470F"/>
    <w:rsid w:val="4EB40E5E"/>
    <w:rsid w:val="506D3ED7"/>
    <w:rsid w:val="535108C6"/>
    <w:rsid w:val="55641BC1"/>
    <w:rsid w:val="562D71F9"/>
    <w:rsid w:val="58287355"/>
    <w:rsid w:val="5A673229"/>
    <w:rsid w:val="61C86C86"/>
    <w:rsid w:val="64636121"/>
    <w:rsid w:val="6E9A12BD"/>
    <w:rsid w:val="73BF50EB"/>
    <w:rsid w:val="74136F16"/>
    <w:rsid w:val="74CA6436"/>
    <w:rsid w:val="76A7403C"/>
    <w:rsid w:val="7802688B"/>
    <w:rsid w:val="79A35DE3"/>
    <w:rsid w:val="79DA7E3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712" w:firstLineChars="200"/>
      <w:jc w:val="both"/>
    </w:pPr>
    <w:rPr>
      <w:rFonts w:ascii="Times New Roman" w:hAnsi="Times New Roman" w:eastAsia="仿宋_GB2312" w:cs="Calibri"/>
      <w:kern w:val="2"/>
      <w:sz w:val="24"/>
      <w:szCs w:val="24"/>
      <w:lang w:val="en-US" w:eastAsia="zh-CN" w:bidi="ar-SA"/>
    </w:rPr>
  </w:style>
  <w:style w:type="paragraph" w:styleId="2">
    <w:name w:val="heading 1"/>
    <w:basedOn w:val="1"/>
    <w:next w:val="1"/>
    <w:link w:val="21"/>
    <w:qFormat/>
    <w:uiPriority w:val="0"/>
    <w:pPr>
      <w:keepNext/>
      <w:keepLines/>
      <w:adjustRightInd w:val="0"/>
      <w:snapToGrid w:val="0"/>
      <w:spacing w:afterLines="0" w:line="360" w:lineRule="auto"/>
      <w:ind w:firstLine="0" w:firstLineChars="0"/>
      <w:jc w:val="left"/>
      <w:outlineLvl w:val="0"/>
    </w:pPr>
    <w:rPr>
      <w:rFonts w:ascii="Times New Roman" w:hAnsi="Times New Roman"/>
      <w:b/>
      <w:bCs/>
      <w:kern w:val="44"/>
      <w:sz w:val="36"/>
      <w:szCs w:val="36"/>
    </w:rPr>
  </w:style>
  <w:style w:type="character" w:default="1" w:styleId="17">
    <w:name w:val="Default Paragraph Font"/>
    <w:semiHidden/>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3">
    <w:name w:val="Normal Indent"/>
    <w:basedOn w:val="1"/>
    <w:next w:val="4"/>
    <w:qFormat/>
    <w:uiPriority w:val="0"/>
    <w:pPr>
      <w:ind w:firstLine="420" w:firstLineChars="200"/>
    </w:pPr>
  </w:style>
  <w:style w:type="paragraph" w:styleId="4">
    <w:name w:val="toc 1"/>
    <w:basedOn w:val="1"/>
    <w:next w:val="1"/>
    <w:qFormat/>
    <w:uiPriority w:val="39"/>
  </w:style>
  <w:style w:type="paragraph" w:styleId="5">
    <w:name w:val="annotation text"/>
    <w:basedOn w:val="1"/>
    <w:link w:val="22"/>
    <w:qFormat/>
    <w:uiPriority w:val="0"/>
    <w:pPr>
      <w:jc w:val="left"/>
    </w:pPr>
  </w:style>
  <w:style w:type="paragraph" w:styleId="6">
    <w:name w:val="Body Text"/>
    <w:basedOn w:val="1"/>
    <w:next w:val="7"/>
    <w:qFormat/>
    <w:uiPriority w:val="0"/>
    <w:pPr>
      <w:spacing w:after="120"/>
    </w:pPr>
  </w:style>
  <w:style w:type="paragraph" w:styleId="7">
    <w:name w:val="Date"/>
    <w:basedOn w:val="1"/>
    <w:next w:val="1"/>
    <w:qFormat/>
    <w:uiPriority w:val="0"/>
    <w:rPr>
      <w:sz w:val="28"/>
    </w:rPr>
  </w:style>
  <w:style w:type="paragraph" w:styleId="8">
    <w:name w:val="Body Text Indent"/>
    <w:basedOn w:val="1"/>
    <w:link w:val="23"/>
    <w:qFormat/>
    <w:uiPriority w:val="99"/>
    <w:pPr>
      <w:spacing w:after="120"/>
      <w:ind w:left="420" w:leftChars="200"/>
    </w:pPr>
  </w:style>
  <w:style w:type="paragraph" w:styleId="9">
    <w:name w:val="toc 3"/>
    <w:basedOn w:val="1"/>
    <w:next w:val="1"/>
    <w:qFormat/>
    <w:uiPriority w:val="0"/>
    <w:pPr>
      <w:ind w:left="840" w:leftChars="400"/>
    </w:pPr>
  </w:style>
  <w:style w:type="paragraph" w:styleId="10">
    <w:name w:val="footer"/>
    <w:basedOn w:val="1"/>
    <w:link w:val="24"/>
    <w:qFormat/>
    <w:uiPriority w:val="99"/>
    <w:pPr>
      <w:tabs>
        <w:tab w:val="center" w:pos="4153"/>
        <w:tab w:val="right" w:pos="8306"/>
      </w:tabs>
      <w:snapToGrid w:val="0"/>
      <w:jc w:val="left"/>
    </w:pPr>
    <w:rPr>
      <w:sz w:val="18"/>
    </w:rPr>
  </w:style>
  <w:style w:type="paragraph" w:styleId="11">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12">
    <w:name w:val="toc 2"/>
    <w:basedOn w:val="1"/>
    <w:next w:val="1"/>
    <w:qFormat/>
    <w:uiPriority w:val="39"/>
    <w:pPr>
      <w:ind w:left="420" w:leftChars="200"/>
    </w:pPr>
  </w:style>
  <w:style w:type="paragraph" w:styleId="13">
    <w:name w:val="Normal (Web)"/>
    <w:basedOn w:val="1"/>
    <w:qFormat/>
    <w:uiPriority w:val="99"/>
    <w:pPr>
      <w:spacing w:before="100" w:beforeAutospacing="1" w:after="100" w:afterAutospacing="1"/>
      <w:ind w:left="0" w:right="0"/>
      <w:jc w:val="left"/>
    </w:pPr>
    <w:rPr>
      <w:kern w:val="0"/>
      <w:sz w:val="24"/>
      <w:lang w:val="en-US" w:eastAsia="zh-CN" w:bidi="ar"/>
    </w:rPr>
  </w:style>
  <w:style w:type="paragraph" w:styleId="14">
    <w:name w:val="annotation subject"/>
    <w:basedOn w:val="5"/>
    <w:next w:val="5"/>
    <w:link w:val="25"/>
    <w:qFormat/>
    <w:uiPriority w:val="0"/>
    <w:rPr>
      <w:b/>
      <w:bCs/>
    </w:rPr>
  </w:style>
  <w:style w:type="table" w:styleId="16">
    <w:name w:val="Table Grid"/>
    <w:basedOn w:val="15"/>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rPr>
  </w:style>
  <w:style w:type="character" w:styleId="19">
    <w:name w:val="Hyperlink"/>
    <w:qFormat/>
    <w:uiPriority w:val="99"/>
    <w:rPr>
      <w:color w:val="0000FF"/>
      <w:u w:val="single"/>
    </w:rPr>
  </w:style>
  <w:style w:type="character" w:styleId="20">
    <w:name w:val="annotation reference"/>
    <w:qFormat/>
    <w:uiPriority w:val="0"/>
    <w:rPr>
      <w:sz w:val="21"/>
      <w:szCs w:val="21"/>
    </w:rPr>
  </w:style>
  <w:style w:type="character" w:customStyle="1" w:styleId="21">
    <w:name w:val="标题 1 字符"/>
    <w:link w:val="2"/>
    <w:qFormat/>
    <w:uiPriority w:val="0"/>
    <w:rPr>
      <w:rFonts w:ascii="Times New Roman" w:hAnsi="Times New Roman" w:eastAsia="仿宋_GB2312"/>
      <w:b/>
      <w:bCs/>
      <w:kern w:val="44"/>
      <w:sz w:val="36"/>
      <w:szCs w:val="36"/>
    </w:rPr>
  </w:style>
  <w:style w:type="character" w:customStyle="1" w:styleId="22">
    <w:name w:val="批注文字 字符"/>
    <w:link w:val="5"/>
    <w:qFormat/>
    <w:uiPriority w:val="0"/>
    <w:rPr>
      <w:rFonts w:ascii="Times New Roman" w:hAnsi="Times New Roman" w:eastAsia="仿宋_GB2312"/>
      <w:kern w:val="2"/>
      <w:sz w:val="24"/>
      <w:szCs w:val="24"/>
    </w:rPr>
  </w:style>
  <w:style w:type="character" w:customStyle="1" w:styleId="23">
    <w:name w:val="正文文本缩进 字符"/>
    <w:link w:val="8"/>
    <w:qFormat/>
    <w:uiPriority w:val="99"/>
    <w:rPr>
      <w:rFonts w:ascii="Times New Roman" w:hAnsi="Times New Roman" w:eastAsia="仿宋_GB2312"/>
      <w:kern w:val="2"/>
      <w:sz w:val="24"/>
      <w:szCs w:val="24"/>
    </w:rPr>
  </w:style>
  <w:style w:type="character" w:customStyle="1" w:styleId="24">
    <w:name w:val="页脚 字符"/>
    <w:link w:val="10"/>
    <w:qFormat/>
    <w:uiPriority w:val="99"/>
    <w:rPr>
      <w:rFonts w:ascii="Times New Roman" w:hAnsi="Times New Roman" w:eastAsia="仿宋_GB2312"/>
      <w:kern w:val="2"/>
      <w:sz w:val="18"/>
      <w:szCs w:val="24"/>
    </w:rPr>
  </w:style>
  <w:style w:type="character" w:customStyle="1" w:styleId="25">
    <w:name w:val="批注主题 字符"/>
    <w:link w:val="14"/>
    <w:qFormat/>
    <w:uiPriority w:val="0"/>
    <w:rPr>
      <w:rFonts w:ascii="Times New Roman" w:hAnsi="Times New Roman" w:eastAsia="仿宋_GB2312"/>
      <w:b/>
      <w:bCs/>
      <w:kern w:val="2"/>
      <w:sz w:val="24"/>
      <w:szCs w:val="24"/>
    </w:rPr>
  </w:style>
  <w:style w:type="character" w:customStyle="1" w:styleId="26">
    <w:name w:val="_Style 25"/>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6" Type="http://schemas.microsoft.com/office/2011/relationships/people" Target="people.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jpeg"/><Relationship Id="rId40" Type="http://schemas.openxmlformats.org/officeDocument/2006/relationships/image" Target="media/image25.jpeg"/><Relationship Id="rId4" Type="http://schemas.microsoft.com/office/2011/relationships/commentsExtended" Target="commentsExtended.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comments" Target="comment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3796</Words>
  <Characters>4378</Characters>
  <Lines>55</Lines>
  <Paragraphs>15</Paragraphs>
  <TotalTime>6</TotalTime>
  <ScaleCrop>false</ScaleCrop>
  <LinksUpToDate>false</LinksUpToDate>
  <CharactersWithSpaces>4435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2025-05-09T03:17:00Z</dcterms:created>
  <dc:creator>Administrator</dc:creator>
  <cp:lastModifiedBy>敏敏柯木儿</cp:lastModifiedBy>
  <cp:lastPrinted>2025-04-22T09:22:00Z</cp:lastPrinted>
  <dcterms:modified xsi:type="dcterms:W3CDTF">2025-10-14T05:59:42Z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A64DD43C917D4586ACF6A3E8BA7B4E2B_13</vt:lpwstr>
  </property>
  <property fmtid="{D5CDD505-2E9C-101B-9397-08002B2CF9AE}" pid="4" name="KSOTemplateDocerSaveRecord">
    <vt:lpwstr>eyJoZGlkIjoiYWQ2MmZjZTY4ZDQ4MGU5OThhYzRkMjhiOTJmNTI0ZTAiLCJ1c2VySWQiOiIxMTQ1MjQzMDQ2In0=</vt:lpwstr>
  </property>
</Properties>
</file>